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53B74" w14:textId="77777777" w:rsidR="00241DB6" w:rsidRPr="00AB3299" w:rsidRDefault="00241DB6">
      <w:pPr>
        <w:rPr>
          <w:rFonts w:asciiTheme="minorHAnsi" w:hAnsiTheme="minorHAnsi"/>
          <w:b/>
          <w:sz w:val="14"/>
          <w:u w:val="single"/>
        </w:rPr>
      </w:pPr>
    </w:p>
    <w:p w14:paraId="18DE062D" w14:textId="77777777" w:rsidR="00C02CBE" w:rsidRPr="009E0D80" w:rsidRDefault="00C02CBE" w:rsidP="00C02CBE">
      <w:pPr>
        <w:autoSpaceDE w:val="0"/>
        <w:autoSpaceDN w:val="0"/>
        <w:adjustRightInd w:val="0"/>
        <w:rPr>
          <w:rFonts w:asciiTheme="minorHAnsi" w:hAnsiTheme="minorHAnsi" w:cs="Tahoma"/>
          <w:b/>
          <w:bCs/>
          <w:color w:val="000000"/>
          <w:sz w:val="20"/>
          <w:szCs w:val="20"/>
        </w:rPr>
      </w:pPr>
      <w:r w:rsidRPr="009E0D80">
        <w:rPr>
          <w:rFonts w:asciiTheme="minorHAnsi" w:hAnsiTheme="minorHAnsi" w:cs="Tahoma"/>
          <w:color w:val="000000"/>
          <w:sz w:val="20"/>
          <w:szCs w:val="20"/>
        </w:rPr>
        <w:t>Číslo smlouvy objednatele:</w:t>
      </w:r>
      <w:r w:rsidRPr="009E0D80">
        <w:rPr>
          <w:rFonts w:asciiTheme="minorHAnsi" w:hAnsiTheme="minorHAnsi" w:cs="Tahoma"/>
          <w:color w:val="000000"/>
          <w:sz w:val="20"/>
          <w:szCs w:val="20"/>
        </w:rPr>
        <w:tab/>
      </w:r>
      <w:r w:rsidRPr="009E0D80">
        <w:rPr>
          <w:rFonts w:asciiTheme="minorHAnsi" w:hAnsiTheme="minorHAnsi" w:cs="Tahoma"/>
          <w:b/>
          <w:bCs/>
          <w:color w:val="000000"/>
          <w:sz w:val="20"/>
          <w:szCs w:val="20"/>
        </w:rPr>
        <w:t>…………</w:t>
      </w:r>
    </w:p>
    <w:p w14:paraId="189FA8AB" w14:textId="77777777" w:rsidR="00C02CBE" w:rsidRPr="009E0D80" w:rsidRDefault="00C02CBE" w:rsidP="00C02CBE">
      <w:pPr>
        <w:autoSpaceDE w:val="0"/>
        <w:autoSpaceDN w:val="0"/>
        <w:adjustRightInd w:val="0"/>
        <w:rPr>
          <w:rFonts w:asciiTheme="minorHAnsi" w:hAnsiTheme="minorHAnsi" w:cs="Tahoma"/>
          <w:b/>
          <w:bCs/>
          <w:color w:val="000000"/>
          <w:sz w:val="20"/>
          <w:szCs w:val="20"/>
        </w:rPr>
      </w:pPr>
      <w:r w:rsidRPr="009E0D80">
        <w:rPr>
          <w:rFonts w:asciiTheme="minorHAnsi" w:hAnsiTheme="minorHAnsi" w:cs="Tahoma"/>
          <w:color w:val="000000"/>
          <w:sz w:val="20"/>
          <w:szCs w:val="20"/>
        </w:rPr>
        <w:t>Číslo smlouvy zhotovitele:</w:t>
      </w:r>
      <w:r>
        <w:rPr>
          <w:rFonts w:asciiTheme="minorHAnsi" w:hAnsiTheme="minorHAnsi" w:cs="Tahoma"/>
          <w:color w:val="000000"/>
          <w:sz w:val="20"/>
          <w:szCs w:val="20"/>
        </w:rPr>
        <w:tab/>
      </w:r>
      <w:r w:rsidRPr="009E0D80">
        <w:rPr>
          <w:rFonts w:asciiTheme="minorHAnsi" w:hAnsiTheme="minorHAnsi" w:cs="Tahoma"/>
          <w:color w:val="000000"/>
          <w:sz w:val="20"/>
          <w:szCs w:val="20"/>
        </w:rPr>
        <w:tab/>
      </w:r>
      <w:r w:rsidRPr="009E0D80">
        <w:rPr>
          <w:rFonts w:asciiTheme="minorHAnsi" w:hAnsiTheme="minorHAnsi" w:cs="Tahoma"/>
          <w:b/>
          <w:bCs/>
          <w:color w:val="000000"/>
          <w:sz w:val="20"/>
          <w:szCs w:val="20"/>
        </w:rPr>
        <w:t>…………</w:t>
      </w:r>
    </w:p>
    <w:p w14:paraId="305A7241" w14:textId="77777777" w:rsidR="00C02CBE" w:rsidRDefault="00C02CBE" w:rsidP="00C02CBE">
      <w:pPr>
        <w:pStyle w:val="Nzev"/>
        <w:rPr>
          <w:rFonts w:asciiTheme="minorHAnsi" w:hAnsiTheme="minorHAnsi" w:cs="Tahoma"/>
          <w:sz w:val="40"/>
          <w:szCs w:val="40"/>
        </w:rPr>
      </w:pPr>
    </w:p>
    <w:p w14:paraId="28BD9103" w14:textId="77777777" w:rsidR="00C02CBE" w:rsidRPr="009E0D80" w:rsidRDefault="00C02CBE" w:rsidP="00C02CBE">
      <w:pPr>
        <w:pStyle w:val="Nzev"/>
        <w:rPr>
          <w:rFonts w:asciiTheme="minorHAnsi" w:hAnsiTheme="minorHAnsi" w:cs="Tahoma"/>
          <w:sz w:val="40"/>
          <w:szCs w:val="40"/>
        </w:rPr>
      </w:pPr>
      <w:r w:rsidRPr="009E0D80">
        <w:rPr>
          <w:rFonts w:asciiTheme="minorHAnsi" w:hAnsiTheme="minorHAnsi" w:cs="Tahoma"/>
          <w:sz w:val="40"/>
          <w:szCs w:val="40"/>
        </w:rPr>
        <w:t>SMLOUVA O DÍLO</w:t>
      </w:r>
    </w:p>
    <w:p w14:paraId="0B70D884" w14:textId="77777777" w:rsidR="00C02CBE" w:rsidRPr="009E0D80" w:rsidRDefault="00C02CBE" w:rsidP="00C02CBE">
      <w:pPr>
        <w:spacing w:after="120"/>
        <w:rPr>
          <w:rFonts w:asciiTheme="minorHAnsi" w:hAnsiTheme="minorHAnsi" w:cs="Tahoma"/>
          <w:color w:val="FF0000"/>
        </w:rPr>
      </w:pPr>
    </w:p>
    <w:p w14:paraId="032EEAD1" w14:textId="77777777" w:rsidR="00C02CBE" w:rsidRPr="009E0D80" w:rsidRDefault="00C02CBE" w:rsidP="00C02CBE">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39F30382" w14:textId="77777777" w:rsidR="00C02CBE" w:rsidRPr="009E0D80" w:rsidRDefault="00C02CBE" w:rsidP="00C02CBE">
      <w:pPr>
        <w:pStyle w:val="Zkladntext22"/>
        <w:spacing w:after="0" w:line="240" w:lineRule="auto"/>
        <w:jc w:val="center"/>
        <w:rPr>
          <w:rFonts w:asciiTheme="minorHAnsi" w:hAnsiTheme="minorHAnsi" w:cs="Tahoma"/>
          <w:sz w:val="20"/>
          <w:szCs w:val="20"/>
        </w:rPr>
      </w:pPr>
    </w:p>
    <w:p w14:paraId="3ADA52D1" w14:textId="77777777" w:rsidR="00C02CBE" w:rsidRPr="009E0D80" w:rsidRDefault="00C02CBE" w:rsidP="00C02CBE">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14:paraId="64A7FC6E" w14:textId="77777777" w:rsidR="00C02CBE" w:rsidRPr="009E0D80" w:rsidRDefault="00C02CBE" w:rsidP="00C02CBE">
      <w:pPr>
        <w:rPr>
          <w:rFonts w:asciiTheme="minorHAnsi" w:hAnsiTheme="minorHAnsi" w:cs="Tahoma"/>
          <w:b/>
          <w:sz w:val="20"/>
          <w:szCs w:val="20"/>
        </w:rPr>
      </w:pPr>
    </w:p>
    <w:p w14:paraId="1B8C065E" w14:textId="77777777" w:rsidR="00C02CBE" w:rsidRPr="007C6C00" w:rsidRDefault="00C02CBE" w:rsidP="00C02CBE">
      <w:pPr>
        <w:pStyle w:val="Odstavecseseznamem"/>
        <w:numPr>
          <w:ilvl w:val="0"/>
          <w:numId w:val="68"/>
        </w:numPr>
        <w:suppressAutoHyphens/>
        <w:contextualSpacing w:val="0"/>
        <w:jc w:val="center"/>
        <w:rPr>
          <w:rFonts w:asciiTheme="minorHAnsi" w:hAnsiTheme="minorHAnsi" w:cs="Tahoma"/>
          <w:b/>
          <w:szCs w:val="20"/>
        </w:rPr>
      </w:pPr>
    </w:p>
    <w:p w14:paraId="65DD0808" w14:textId="77777777" w:rsidR="00C02CBE" w:rsidRPr="007C6C00" w:rsidRDefault="00C02CBE" w:rsidP="00C02CBE">
      <w:pPr>
        <w:jc w:val="center"/>
        <w:rPr>
          <w:rFonts w:asciiTheme="minorHAnsi" w:hAnsiTheme="minorHAnsi" w:cs="Tahoma"/>
          <w:b/>
          <w:sz w:val="20"/>
          <w:szCs w:val="20"/>
        </w:rPr>
      </w:pPr>
      <w:r w:rsidRPr="007C6C00">
        <w:rPr>
          <w:rFonts w:asciiTheme="minorHAnsi" w:hAnsiTheme="minorHAnsi" w:cs="Tahoma"/>
          <w:b/>
          <w:sz w:val="20"/>
          <w:szCs w:val="20"/>
        </w:rPr>
        <w:t>Smluvní strany</w:t>
      </w:r>
    </w:p>
    <w:p w14:paraId="6B8A0A79" w14:textId="77777777" w:rsidR="00C02CBE" w:rsidRPr="007C6C00" w:rsidRDefault="00C02CBE" w:rsidP="00C02CBE">
      <w:pPr>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C02CBE" w:rsidRPr="007C6C00" w14:paraId="20F41623" w14:textId="77777777" w:rsidTr="005C377D">
        <w:tc>
          <w:tcPr>
            <w:tcW w:w="3168" w:type="dxa"/>
            <w:vAlign w:val="center"/>
          </w:tcPr>
          <w:p w14:paraId="29C0AF8E" w14:textId="77777777" w:rsidR="00C02CBE" w:rsidRPr="007C6C00" w:rsidRDefault="00C02CBE" w:rsidP="005C377D">
            <w:pPr>
              <w:widowControl w:val="0"/>
              <w:rPr>
                <w:rFonts w:asciiTheme="minorHAnsi" w:hAnsiTheme="minorHAnsi" w:cs="Tahoma"/>
                <w:b/>
                <w:sz w:val="20"/>
                <w:szCs w:val="20"/>
              </w:rPr>
            </w:pPr>
            <w:r w:rsidRPr="007C6C00">
              <w:rPr>
                <w:rFonts w:asciiTheme="minorHAnsi" w:hAnsiTheme="minorHAnsi" w:cs="Tahoma"/>
                <w:b/>
                <w:sz w:val="20"/>
                <w:szCs w:val="20"/>
              </w:rPr>
              <w:t>Objednatel:</w:t>
            </w:r>
          </w:p>
        </w:tc>
        <w:tc>
          <w:tcPr>
            <w:tcW w:w="6300" w:type="dxa"/>
            <w:vAlign w:val="center"/>
          </w:tcPr>
          <w:p w14:paraId="601BAE21" w14:textId="77777777" w:rsidR="00C02CBE" w:rsidRPr="007C6C00" w:rsidRDefault="00C02CBE" w:rsidP="005C377D">
            <w:pPr>
              <w:widowControl w:val="0"/>
              <w:autoSpaceDE w:val="0"/>
              <w:autoSpaceDN w:val="0"/>
              <w:adjustRightInd w:val="0"/>
              <w:rPr>
                <w:rFonts w:asciiTheme="minorHAnsi" w:hAnsiTheme="minorHAnsi" w:cs="TimesNewRomanPSMT"/>
                <w:b/>
                <w:bCs/>
                <w:sz w:val="20"/>
                <w:szCs w:val="20"/>
              </w:rPr>
            </w:pPr>
            <w:r w:rsidRPr="007C6C00">
              <w:rPr>
                <w:rFonts w:asciiTheme="minorHAnsi" w:hAnsiTheme="minorHAnsi" w:cs="TimesNewRomanPSMT"/>
                <w:bCs/>
                <w:sz w:val="20"/>
                <w:szCs w:val="20"/>
              </w:rPr>
              <w:t>Město Kostelec nad Orlicí</w:t>
            </w:r>
          </w:p>
        </w:tc>
      </w:tr>
      <w:tr w:rsidR="00C02CBE" w:rsidRPr="007C6C00" w14:paraId="0BE3CBB2" w14:textId="77777777" w:rsidTr="005C377D">
        <w:tc>
          <w:tcPr>
            <w:tcW w:w="3168" w:type="dxa"/>
            <w:vAlign w:val="center"/>
          </w:tcPr>
          <w:p w14:paraId="4F01F0A4"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Se sídlem:</w:t>
            </w:r>
          </w:p>
        </w:tc>
        <w:tc>
          <w:tcPr>
            <w:tcW w:w="6300" w:type="dxa"/>
            <w:vAlign w:val="center"/>
          </w:tcPr>
          <w:p w14:paraId="187998B3" w14:textId="77777777" w:rsidR="00C02CBE" w:rsidRPr="007C6C00" w:rsidRDefault="00C02CBE" w:rsidP="005C377D">
            <w:pPr>
              <w:widowControl w:val="0"/>
              <w:autoSpaceDE w:val="0"/>
              <w:autoSpaceDN w:val="0"/>
              <w:adjustRightInd w:val="0"/>
              <w:rPr>
                <w:rFonts w:asciiTheme="minorHAnsi" w:hAnsiTheme="minorHAnsi" w:cs="TimesNewRomanPSMT"/>
                <w:bCs/>
                <w:sz w:val="20"/>
                <w:szCs w:val="20"/>
              </w:rPr>
            </w:pPr>
            <w:r w:rsidRPr="007C6C00">
              <w:rPr>
                <w:rFonts w:asciiTheme="minorHAnsi" w:hAnsiTheme="minorHAnsi" w:cs="TimesNewRomanPSMT"/>
                <w:bCs/>
                <w:sz w:val="20"/>
                <w:szCs w:val="20"/>
              </w:rPr>
              <w:t>Palackého náměstí 38, 517 41 Kostelec nad Orlicí</w:t>
            </w:r>
          </w:p>
        </w:tc>
      </w:tr>
      <w:tr w:rsidR="00C02CBE" w:rsidRPr="007C6C00" w14:paraId="533EDFCE" w14:textId="77777777" w:rsidTr="005C377D">
        <w:tc>
          <w:tcPr>
            <w:tcW w:w="3168" w:type="dxa"/>
            <w:vAlign w:val="center"/>
          </w:tcPr>
          <w:p w14:paraId="3D0A15C6"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Zastoupen:</w:t>
            </w:r>
          </w:p>
        </w:tc>
        <w:tc>
          <w:tcPr>
            <w:tcW w:w="6300" w:type="dxa"/>
            <w:vAlign w:val="center"/>
          </w:tcPr>
          <w:p w14:paraId="46F229EA"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imesNewRomanPSMT"/>
                <w:bCs/>
                <w:sz w:val="20"/>
                <w:szCs w:val="20"/>
              </w:rPr>
              <w:t>Františkem Kinským, starostou</w:t>
            </w:r>
          </w:p>
        </w:tc>
      </w:tr>
      <w:tr w:rsidR="00C02CBE" w:rsidRPr="007C6C00" w14:paraId="43228E07" w14:textId="77777777" w:rsidTr="005C377D">
        <w:trPr>
          <w:trHeight w:val="273"/>
        </w:trPr>
        <w:tc>
          <w:tcPr>
            <w:tcW w:w="3168" w:type="dxa"/>
            <w:vAlign w:val="center"/>
          </w:tcPr>
          <w:p w14:paraId="2E1CCDF5"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IČO:</w:t>
            </w:r>
          </w:p>
        </w:tc>
        <w:tc>
          <w:tcPr>
            <w:tcW w:w="6300" w:type="dxa"/>
            <w:vAlign w:val="center"/>
          </w:tcPr>
          <w:p w14:paraId="22160DF7" w14:textId="77777777" w:rsidR="00C02CBE" w:rsidRPr="007C6C00" w:rsidRDefault="00C02CBE" w:rsidP="005C377D">
            <w:pPr>
              <w:widowControl w:val="0"/>
              <w:numPr>
                <w:ilvl w:val="12"/>
                <w:numId w:val="0"/>
              </w:numPr>
              <w:tabs>
                <w:tab w:val="num" w:pos="360"/>
                <w:tab w:val="left" w:pos="3060"/>
              </w:tabs>
              <w:rPr>
                <w:rFonts w:asciiTheme="minorHAnsi" w:hAnsiTheme="minorHAnsi" w:cs="Tahoma"/>
                <w:sz w:val="20"/>
                <w:szCs w:val="20"/>
              </w:rPr>
            </w:pPr>
            <w:r w:rsidRPr="007C6C00">
              <w:rPr>
                <w:rFonts w:asciiTheme="minorHAnsi" w:hAnsiTheme="minorHAnsi" w:cs="TimesNewRomanPSMT"/>
                <w:bCs/>
                <w:sz w:val="20"/>
                <w:szCs w:val="20"/>
              </w:rPr>
              <w:t>00274968</w:t>
            </w:r>
          </w:p>
        </w:tc>
      </w:tr>
      <w:tr w:rsidR="00C02CBE" w:rsidRPr="007C6C00" w14:paraId="31C611D4" w14:textId="77777777" w:rsidTr="005C377D">
        <w:tc>
          <w:tcPr>
            <w:tcW w:w="3168" w:type="dxa"/>
            <w:vAlign w:val="center"/>
          </w:tcPr>
          <w:p w14:paraId="1FAF7F75"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Bankovní spojení:</w:t>
            </w:r>
          </w:p>
          <w:p w14:paraId="2AB967F9"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Číslo účtu:</w:t>
            </w:r>
          </w:p>
        </w:tc>
        <w:tc>
          <w:tcPr>
            <w:tcW w:w="6300" w:type="dxa"/>
            <w:vAlign w:val="center"/>
          </w:tcPr>
          <w:p w14:paraId="25D68557" w14:textId="77777777" w:rsidR="00C02CBE" w:rsidRPr="007C6C00" w:rsidRDefault="00C02CBE" w:rsidP="005C377D">
            <w:pPr>
              <w:widowControl w:val="0"/>
              <w:rPr>
                <w:rFonts w:asciiTheme="minorHAnsi" w:hAnsiTheme="minorHAnsi" w:cs="Tahoma"/>
                <w:sz w:val="20"/>
                <w:szCs w:val="20"/>
              </w:rPr>
            </w:pPr>
          </w:p>
        </w:tc>
      </w:tr>
      <w:tr w:rsidR="00C02CBE" w:rsidRPr="007C6C00" w14:paraId="46429426" w14:textId="77777777" w:rsidTr="005C377D">
        <w:tc>
          <w:tcPr>
            <w:tcW w:w="3168" w:type="dxa"/>
            <w:vAlign w:val="center"/>
          </w:tcPr>
          <w:p w14:paraId="16A6C6D6" w14:textId="77777777" w:rsidR="00C02CBE" w:rsidRPr="007C6C00" w:rsidRDefault="00C02CBE" w:rsidP="005C377D">
            <w:pPr>
              <w:widowControl w:val="0"/>
              <w:rPr>
                <w:rFonts w:asciiTheme="minorHAnsi" w:hAnsiTheme="minorHAnsi" w:cs="Tahoma"/>
                <w:sz w:val="20"/>
                <w:szCs w:val="20"/>
              </w:rPr>
            </w:pPr>
          </w:p>
        </w:tc>
        <w:tc>
          <w:tcPr>
            <w:tcW w:w="6300" w:type="dxa"/>
            <w:vAlign w:val="center"/>
          </w:tcPr>
          <w:p w14:paraId="1726CAE6" w14:textId="77777777" w:rsidR="00C02CBE" w:rsidRPr="007C6C00" w:rsidRDefault="00C02CBE" w:rsidP="005C377D">
            <w:pPr>
              <w:widowControl w:val="0"/>
              <w:rPr>
                <w:rFonts w:asciiTheme="minorHAnsi" w:hAnsiTheme="minorHAnsi" w:cs="TimesNewRomanPSMT"/>
                <w:bCs/>
                <w:sz w:val="20"/>
                <w:szCs w:val="20"/>
              </w:rPr>
            </w:pPr>
          </w:p>
        </w:tc>
      </w:tr>
    </w:tbl>
    <w:p w14:paraId="033A514C" w14:textId="77777777" w:rsidR="00C02CBE" w:rsidRPr="007C6C00" w:rsidRDefault="00C02CBE" w:rsidP="00C02CBE">
      <w:pPr>
        <w:widowControl w:val="0"/>
        <w:jc w:val="both"/>
        <w:rPr>
          <w:rFonts w:asciiTheme="minorHAnsi" w:hAnsiTheme="minorHAnsi" w:cs="Tahoma"/>
          <w:sz w:val="20"/>
          <w:szCs w:val="20"/>
        </w:rPr>
      </w:pPr>
      <w:r w:rsidRPr="007C6C00">
        <w:rPr>
          <w:rFonts w:asciiTheme="minorHAnsi" w:hAnsiTheme="minorHAnsi" w:cs="Tahoma"/>
          <w:sz w:val="20"/>
          <w:szCs w:val="20"/>
        </w:rPr>
        <w:t>Pověřen k jednání ve věcech</w:t>
      </w:r>
    </w:p>
    <w:p w14:paraId="6F4D7BC4" w14:textId="77777777" w:rsidR="00C02CBE" w:rsidRPr="007C6C00" w:rsidRDefault="00C02CBE" w:rsidP="00C02CBE">
      <w:pPr>
        <w:widowControl w:val="0"/>
        <w:tabs>
          <w:tab w:val="left" w:pos="3175"/>
        </w:tabs>
        <w:jc w:val="both"/>
        <w:rPr>
          <w:rFonts w:asciiTheme="minorHAnsi" w:hAnsiTheme="minorHAnsi" w:cs="Tahoma"/>
          <w:sz w:val="20"/>
          <w:szCs w:val="20"/>
        </w:rPr>
      </w:pPr>
      <w:r w:rsidRPr="007C6C00">
        <w:rPr>
          <w:rFonts w:asciiTheme="minorHAnsi" w:hAnsiTheme="minorHAnsi" w:cs="Tahoma"/>
          <w:sz w:val="20"/>
          <w:szCs w:val="20"/>
        </w:rPr>
        <w:t xml:space="preserve">technických a realizace stavby: </w:t>
      </w:r>
    </w:p>
    <w:p w14:paraId="0A920006" w14:textId="77777777" w:rsidR="00C02CBE" w:rsidRPr="007C6C00" w:rsidRDefault="00C02CBE" w:rsidP="00C02CBE">
      <w:pPr>
        <w:widowControl w:val="0"/>
        <w:tabs>
          <w:tab w:val="left" w:pos="3240"/>
        </w:tabs>
        <w:spacing w:before="120"/>
        <w:jc w:val="both"/>
        <w:rPr>
          <w:rFonts w:asciiTheme="minorHAnsi" w:hAnsiTheme="minorHAnsi" w:cs="Tahoma"/>
          <w:sz w:val="20"/>
          <w:szCs w:val="20"/>
        </w:rPr>
      </w:pPr>
      <w:r w:rsidRPr="007C6C00">
        <w:rPr>
          <w:rFonts w:asciiTheme="minorHAnsi" w:hAnsiTheme="minorHAnsi" w:cs="Tahoma"/>
          <w:sz w:val="20"/>
          <w:szCs w:val="20"/>
        </w:rPr>
        <w:t>(dále jen „</w:t>
      </w:r>
      <w:r w:rsidRPr="007C6C00">
        <w:rPr>
          <w:rFonts w:asciiTheme="minorHAnsi" w:hAnsiTheme="minorHAnsi" w:cs="Tahoma"/>
          <w:b/>
          <w:i/>
          <w:sz w:val="20"/>
          <w:szCs w:val="20"/>
        </w:rPr>
        <w:t>objednatel</w:t>
      </w:r>
      <w:r w:rsidRPr="007C6C00">
        <w:rPr>
          <w:rFonts w:asciiTheme="minorHAnsi" w:hAnsiTheme="minorHAnsi" w:cs="Tahoma"/>
          <w:sz w:val="20"/>
          <w:szCs w:val="20"/>
        </w:rPr>
        <w:t>“).</w:t>
      </w:r>
    </w:p>
    <w:tbl>
      <w:tblPr>
        <w:tblW w:w="9468" w:type="dxa"/>
        <w:tblLook w:val="01E0" w:firstRow="1" w:lastRow="1" w:firstColumn="1" w:lastColumn="1" w:noHBand="0" w:noVBand="0"/>
      </w:tblPr>
      <w:tblGrid>
        <w:gridCol w:w="3168"/>
        <w:gridCol w:w="6300"/>
      </w:tblGrid>
      <w:tr w:rsidR="00C02CBE" w:rsidRPr="007C6C00" w14:paraId="747E321E" w14:textId="77777777" w:rsidTr="005C377D">
        <w:tc>
          <w:tcPr>
            <w:tcW w:w="3168" w:type="dxa"/>
          </w:tcPr>
          <w:p w14:paraId="1E17AD4A" w14:textId="77777777" w:rsidR="00C02CBE" w:rsidRPr="007C6C00" w:rsidRDefault="00C02CBE" w:rsidP="005C377D">
            <w:pPr>
              <w:widowControl w:val="0"/>
              <w:rPr>
                <w:rFonts w:asciiTheme="minorHAnsi" w:hAnsiTheme="minorHAnsi" w:cs="Tahoma"/>
                <w:b/>
                <w:sz w:val="20"/>
                <w:szCs w:val="20"/>
              </w:rPr>
            </w:pPr>
          </w:p>
          <w:p w14:paraId="0D5FB1D3" w14:textId="77777777" w:rsidR="00C02CBE" w:rsidRPr="007C6C00" w:rsidRDefault="00C02CBE" w:rsidP="005C377D">
            <w:pPr>
              <w:widowControl w:val="0"/>
              <w:rPr>
                <w:rFonts w:asciiTheme="minorHAnsi" w:hAnsiTheme="minorHAnsi" w:cs="Tahoma"/>
                <w:b/>
                <w:sz w:val="20"/>
                <w:szCs w:val="20"/>
              </w:rPr>
            </w:pPr>
          </w:p>
          <w:p w14:paraId="2B359923" w14:textId="77777777" w:rsidR="00C02CBE" w:rsidRPr="007C6C00" w:rsidRDefault="00C02CBE" w:rsidP="005C377D">
            <w:pPr>
              <w:widowControl w:val="0"/>
              <w:rPr>
                <w:rFonts w:asciiTheme="minorHAnsi" w:hAnsiTheme="minorHAnsi" w:cs="Tahoma"/>
                <w:b/>
                <w:sz w:val="20"/>
                <w:szCs w:val="20"/>
              </w:rPr>
            </w:pPr>
            <w:r w:rsidRPr="007C6C00">
              <w:rPr>
                <w:rFonts w:asciiTheme="minorHAnsi" w:hAnsiTheme="minorHAnsi" w:cs="Tahoma"/>
                <w:b/>
                <w:sz w:val="20"/>
                <w:szCs w:val="20"/>
              </w:rPr>
              <w:t>Zhotovitel:</w:t>
            </w:r>
          </w:p>
        </w:tc>
        <w:tc>
          <w:tcPr>
            <w:tcW w:w="6300" w:type="dxa"/>
          </w:tcPr>
          <w:p w14:paraId="42409102" w14:textId="77777777" w:rsidR="00C02CBE" w:rsidRPr="007C6C00" w:rsidRDefault="00C02CBE" w:rsidP="005C377D">
            <w:pPr>
              <w:widowControl w:val="0"/>
              <w:rPr>
                <w:rFonts w:asciiTheme="minorHAnsi" w:hAnsiTheme="minorHAnsi" w:cs="Tahoma"/>
                <w:b/>
                <w:sz w:val="20"/>
                <w:szCs w:val="20"/>
              </w:rPr>
            </w:pPr>
          </w:p>
          <w:p w14:paraId="4207C388" w14:textId="77777777" w:rsidR="00C02CBE" w:rsidRPr="007C6C00" w:rsidRDefault="00C02CBE" w:rsidP="005C377D">
            <w:pPr>
              <w:widowControl w:val="0"/>
              <w:rPr>
                <w:rFonts w:asciiTheme="minorHAnsi" w:hAnsiTheme="minorHAnsi" w:cs="Tahoma"/>
                <w:b/>
                <w:sz w:val="20"/>
                <w:szCs w:val="20"/>
              </w:rPr>
            </w:pPr>
          </w:p>
          <w:p w14:paraId="3EE50F06" w14:textId="465607BB" w:rsidR="00C02CBE" w:rsidRPr="007C6C00" w:rsidRDefault="00215B83" w:rsidP="005C377D">
            <w:pPr>
              <w:widowControl w:val="0"/>
              <w:rPr>
                <w:rFonts w:asciiTheme="minorHAnsi" w:hAnsiTheme="minorHAnsi" w:cs="Tahoma"/>
                <w:b/>
                <w:sz w:val="20"/>
                <w:szCs w:val="20"/>
              </w:rPr>
            </w:pPr>
            <w:r w:rsidRPr="007C6C00">
              <w:rPr>
                <w:rFonts w:asciiTheme="minorHAnsi" w:hAnsiTheme="minorHAnsi" w:cs="Tahoma"/>
                <w:b/>
                <w:sz w:val="20"/>
                <w:szCs w:val="20"/>
                <w:highlight w:val="yellow"/>
              </w:rPr>
              <w:t>[doplní účastník řízení]</w:t>
            </w:r>
          </w:p>
        </w:tc>
      </w:tr>
      <w:tr w:rsidR="00C02CBE" w:rsidRPr="007C6C00" w14:paraId="560B6043" w14:textId="77777777" w:rsidTr="005C377D">
        <w:tc>
          <w:tcPr>
            <w:tcW w:w="3168" w:type="dxa"/>
          </w:tcPr>
          <w:p w14:paraId="28559A0B"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Se sídlem:</w:t>
            </w:r>
          </w:p>
        </w:tc>
        <w:tc>
          <w:tcPr>
            <w:tcW w:w="6300" w:type="dxa"/>
          </w:tcPr>
          <w:p w14:paraId="7703561C"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4E3A11E1" w14:textId="77777777" w:rsidTr="005C377D">
        <w:tc>
          <w:tcPr>
            <w:tcW w:w="3168" w:type="dxa"/>
          </w:tcPr>
          <w:p w14:paraId="0D78E05B"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Tel:</w:t>
            </w:r>
          </w:p>
        </w:tc>
        <w:tc>
          <w:tcPr>
            <w:tcW w:w="6300" w:type="dxa"/>
          </w:tcPr>
          <w:p w14:paraId="7143B9C1"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4FF80A4D" w14:textId="77777777" w:rsidTr="005C377D">
        <w:tc>
          <w:tcPr>
            <w:tcW w:w="3168" w:type="dxa"/>
          </w:tcPr>
          <w:p w14:paraId="24CCCCD1"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Zastoupen:</w:t>
            </w:r>
          </w:p>
        </w:tc>
        <w:tc>
          <w:tcPr>
            <w:tcW w:w="6300" w:type="dxa"/>
          </w:tcPr>
          <w:p w14:paraId="5FDA2CDD"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235ABC52" w14:textId="77777777" w:rsidTr="005C377D">
        <w:tc>
          <w:tcPr>
            <w:tcW w:w="3168" w:type="dxa"/>
          </w:tcPr>
          <w:p w14:paraId="79B01B03"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IČO:</w:t>
            </w:r>
          </w:p>
        </w:tc>
        <w:tc>
          <w:tcPr>
            <w:tcW w:w="6300" w:type="dxa"/>
          </w:tcPr>
          <w:p w14:paraId="740949A2"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0794C730" w14:textId="77777777" w:rsidTr="005C377D">
        <w:tc>
          <w:tcPr>
            <w:tcW w:w="3168" w:type="dxa"/>
          </w:tcPr>
          <w:p w14:paraId="6AF761FD"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DIČ:</w:t>
            </w:r>
          </w:p>
        </w:tc>
        <w:tc>
          <w:tcPr>
            <w:tcW w:w="6300" w:type="dxa"/>
          </w:tcPr>
          <w:p w14:paraId="2F771CB3"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6222F828" w14:textId="77777777" w:rsidTr="005C377D">
        <w:tc>
          <w:tcPr>
            <w:tcW w:w="3168" w:type="dxa"/>
          </w:tcPr>
          <w:p w14:paraId="71AA2CD7"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Zapsán v obch. rejstříku:</w:t>
            </w:r>
          </w:p>
        </w:tc>
        <w:tc>
          <w:tcPr>
            <w:tcW w:w="6300" w:type="dxa"/>
          </w:tcPr>
          <w:p w14:paraId="28871AFC"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7911C1BF" w14:textId="77777777" w:rsidTr="005C377D">
        <w:tc>
          <w:tcPr>
            <w:tcW w:w="3168" w:type="dxa"/>
          </w:tcPr>
          <w:p w14:paraId="729702BA"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Bankovní spojení:</w:t>
            </w:r>
          </w:p>
        </w:tc>
        <w:tc>
          <w:tcPr>
            <w:tcW w:w="6300" w:type="dxa"/>
          </w:tcPr>
          <w:p w14:paraId="26507E80"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5965F744" w14:textId="77777777" w:rsidTr="005C377D">
        <w:tc>
          <w:tcPr>
            <w:tcW w:w="3168" w:type="dxa"/>
          </w:tcPr>
          <w:p w14:paraId="3942C701"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Číslo účtu:</w:t>
            </w:r>
          </w:p>
          <w:p w14:paraId="51D94C8D" w14:textId="77777777" w:rsidR="00C02CBE" w:rsidRPr="007C6C00" w:rsidRDefault="00C02CBE" w:rsidP="005C377D">
            <w:pPr>
              <w:widowControl w:val="0"/>
              <w:rPr>
                <w:rFonts w:asciiTheme="minorHAnsi" w:hAnsiTheme="minorHAnsi" w:cs="Tahoma"/>
                <w:sz w:val="20"/>
                <w:szCs w:val="20"/>
              </w:rPr>
            </w:pPr>
          </w:p>
          <w:p w14:paraId="185A993D"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 xml:space="preserve">Pověřen k jednání ve věcech smluvních: </w:t>
            </w:r>
          </w:p>
        </w:tc>
        <w:tc>
          <w:tcPr>
            <w:tcW w:w="6300" w:type="dxa"/>
          </w:tcPr>
          <w:p w14:paraId="66B56EBB"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r w:rsidR="00C02CBE" w:rsidRPr="007C6C00" w14:paraId="609F231A" w14:textId="77777777" w:rsidTr="005C377D">
        <w:tc>
          <w:tcPr>
            <w:tcW w:w="3168" w:type="dxa"/>
          </w:tcPr>
          <w:p w14:paraId="37CBC4CB"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rPr>
              <w:t xml:space="preserve">Pověřen k jednání ve věcech technických a realizace stavby: </w:t>
            </w:r>
          </w:p>
        </w:tc>
        <w:tc>
          <w:tcPr>
            <w:tcW w:w="6300" w:type="dxa"/>
          </w:tcPr>
          <w:p w14:paraId="1F497877" w14:textId="77777777" w:rsidR="00C02CBE" w:rsidRPr="007C6C00" w:rsidRDefault="00C02CBE" w:rsidP="005C377D">
            <w:pPr>
              <w:widowControl w:val="0"/>
              <w:rPr>
                <w:rFonts w:asciiTheme="minorHAnsi" w:hAnsiTheme="minorHAnsi" w:cs="Tahoma"/>
                <w:sz w:val="20"/>
                <w:szCs w:val="20"/>
              </w:rPr>
            </w:pPr>
            <w:r w:rsidRPr="007C6C00">
              <w:rPr>
                <w:rFonts w:asciiTheme="minorHAnsi" w:hAnsiTheme="minorHAnsi" w:cs="Tahoma"/>
                <w:sz w:val="20"/>
                <w:szCs w:val="20"/>
                <w:highlight w:val="yellow"/>
              </w:rPr>
              <w:t>[doplní účastník řízení]</w:t>
            </w:r>
          </w:p>
        </w:tc>
      </w:tr>
    </w:tbl>
    <w:p w14:paraId="54128D49" w14:textId="77777777" w:rsidR="00C02CBE" w:rsidRPr="007C6C00" w:rsidRDefault="00C02CBE" w:rsidP="00C02CBE">
      <w:pPr>
        <w:widowControl w:val="0"/>
        <w:tabs>
          <w:tab w:val="left" w:pos="3240"/>
        </w:tabs>
        <w:spacing w:before="120"/>
        <w:jc w:val="both"/>
        <w:rPr>
          <w:rFonts w:asciiTheme="minorHAnsi" w:hAnsiTheme="minorHAnsi" w:cs="Tahoma"/>
          <w:sz w:val="20"/>
          <w:szCs w:val="20"/>
        </w:rPr>
      </w:pPr>
      <w:r w:rsidRPr="007C6C00">
        <w:rPr>
          <w:rFonts w:asciiTheme="minorHAnsi" w:hAnsiTheme="minorHAnsi" w:cs="Tahoma"/>
          <w:sz w:val="20"/>
          <w:szCs w:val="20"/>
        </w:rPr>
        <w:t>(dále jen „</w:t>
      </w:r>
      <w:r w:rsidRPr="007C6C00">
        <w:rPr>
          <w:rFonts w:asciiTheme="minorHAnsi" w:hAnsiTheme="minorHAnsi" w:cs="Tahoma"/>
          <w:b/>
          <w:i/>
          <w:sz w:val="20"/>
          <w:szCs w:val="20"/>
        </w:rPr>
        <w:t>zhotovitel</w:t>
      </w:r>
      <w:r w:rsidRPr="007C6C00">
        <w:rPr>
          <w:rFonts w:asciiTheme="minorHAnsi" w:hAnsiTheme="minorHAnsi" w:cs="Tahoma"/>
          <w:sz w:val="20"/>
          <w:szCs w:val="20"/>
        </w:rPr>
        <w:t>“).</w:t>
      </w:r>
    </w:p>
    <w:p w14:paraId="63250600" w14:textId="77777777" w:rsidR="000E48B5" w:rsidRPr="00C02CBE" w:rsidRDefault="000E48B5" w:rsidP="00C02CBE">
      <w:pPr>
        <w:pStyle w:val="Odstavecseseznamem"/>
        <w:suppressAutoHyphens/>
        <w:ind w:left="360" w:hanging="360"/>
        <w:contextualSpacing w:val="0"/>
        <w:jc w:val="center"/>
        <w:rPr>
          <w:rFonts w:asciiTheme="minorHAnsi" w:eastAsia="Calibri" w:hAnsiTheme="minorHAnsi" w:cs="Tahoma"/>
          <w:b/>
          <w:szCs w:val="20"/>
          <w:lang w:eastAsia="ar-SA"/>
        </w:rPr>
      </w:pPr>
    </w:p>
    <w:p w14:paraId="1E640824" w14:textId="30FFE6FF" w:rsidR="000E48B5" w:rsidRPr="00C02CBE" w:rsidRDefault="000E48B5" w:rsidP="00C02CBE">
      <w:pPr>
        <w:pStyle w:val="Odstavecseseznamem"/>
        <w:numPr>
          <w:ilvl w:val="0"/>
          <w:numId w:val="68"/>
        </w:numPr>
        <w:suppressAutoHyphens/>
        <w:contextualSpacing w:val="0"/>
        <w:jc w:val="center"/>
        <w:rPr>
          <w:rFonts w:asciiTheme="minorHAnsi" w:hAnsiTheme="minorHAnsi" w:cs="Tahoma"/>
          <w:b/>
          <w:szCs w:val="20"/>
        </w:rPr>
      </w:pPr>
    </w:p>
    <w:p w14:paraId="7E991442" w14:textId="77777777" w:rsidR="000E48B5" w:rsidRDefault="000E48B5" w:rsidP="00C02CBE">
      <w:pPr>
        <w:pStyle w:val="Odstavecseseznamem"/>
        <w:suppressAutoHyphens/>
        <w:ind w:left="360" w:hanging="360"/>
        <w:contextualSpacing w:val="0"/>
        <w:jc w:val="center"/>
        <w:rPr>
          <w:rFonts w:asciiTheme="minorHAnsi" w:eastAsia="Calibri" w:hAnsiTheme="minorHAnsi" w:cs="Tahoma"/>
          <w:b/>
          <w:szCs w:val="20"/>
          <w:lang w:eastAsia="ar-SA"/>
        </w:rPr>
      </w:pPr>
      <w:r w:rsidRPr="00C02CBE">
        <w:rPr>
          <w:rFonts w:asciiTheme="minorHAnsi" w:eastAsia="Calibri" w:hAnsiTheme="minorHAnsi" w:cs="Tahoma"/>
          <w:b/>
          <w:szCs w:val="20"/>
          <w:lang w:eastAsia="ar-SA"/>
        </w:rPr>
        <w:t>Předmět díla</w:t>
      </w:r>
    </w:p>
    <w:p w14:paraId="644D8CF1" w14:textId="77777777" w:rsidR="00C02CBE" w:rsidRPr="00C02CBE" w:rsidRDefault="00C02CBE" w:rsidP="00C02CBE">
      <w:pPr>
        <w:pStyle w:val="Odstavecseseznamem"/>
        <w:suppressAutoHyphens/>
        <w:ind w:left="360" w:hanging="360"/>
        <w:contextualSpacing w:val="0"/>
        <w:jc w:val="center"/>
        <w:rPr>
          <w:rFonts w:asciiTheme="minorHAnsi" w:eastAsia="Calibri" w:hAnsiTheme="minorHAnsi" w:cs="Tahoma"/>
          <w:b/>
          <w:szCs w:val="20"/>
          <w:lang w:eastAsia="ar-SA"/>
        </w:rPr>
      </w:pPr>
    </w:p>
    <w:p w14:paraId="4C00A2F5" w14:textId="0E0D22A3" w:rsidR="00D74CBE" w:rsidRPr="00C02CBE" w:rsidRDefault="00DB3246" w:rsidP="00137961">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CD669C">
        <w:rPr>
          <w:rFonts w:asciiTheme="minorHAnsi" w:hAnsiTheme="minorHAnsi" w:cs="Tahoma"/>
          <w:szCs w:val="20"/>
        </w:rPr>
        <w:t>Zhotovitel se zavazuje za podmínek této smlouvy zpracovat projektovou dokumentaci</w:t>
      </w:r>
      <w:r w:rsidR="00D74CBE" w:rsidRPr="00CD669C">
        <w:rPr>
          <w:rFonts w:asciiTheme="minorHAnsi" w:hAnsiTheme="minorHAnsi" w:cs="Tahoma"/>
          <w:szCs w:val="20"/>
        </w:rPr>
        <w:t xml:space="preserve"> </w:t>
      </w:r>
      <w:r w:rsidR="006E7704" w:rsidRPr="00CD669C">
        <w:rPr>
          <w:rFonts w:asciiTheme="minorHAnsi" w:hAnsiTheme="minorHAnsi" w:cs="Tahoma"/>
          <w:szCs w:val="20"/>
        </w:rPr>
        <w:t xml:space="preserve">stavby </w:t>
      </w:r>
      <w:r w:rsidR="00D74CBE" w:rsidRPr="00CD669C">
        <w:rPr>
          <w:rFonts w:asciiTheme="minorHAnsi" w:hAnsiTheme="minorHAnsi" w:cs="Tahoma"/>
          <w:szCs w:val="20"/>
        </w:rPr>
        <w:t>„</w:t>
      </w:r>
      <w:r w:rsidR="00E32650" w:rsidRPr="00CD669C">
        <w:rPr>
          <w:rFonts w:asciiTheme="minorHAnsi" w:hAnsiTheme="minorHAnsi" w:cs="Tahoma"/>
          <w:szCs w:val="20"/>
        </w:rPr>
        <w:t>Stavební úpravy</w:t>
      </w:r>
      <w:r w:rsidR="00C02CBE" w:rsidRPr="00CD669C">
        <w:rPr>
          <w:rFonts w:asciiTheme="minorHAnsi" w:hAnsiTheme="minorHAnsi" w:cs="Tahoma"/>
          <w:szCs w:val="20"/>
        </w:rPr>
        <w:t xml:space="preserve"> č.</w:t>
      </w:r>
      <w:r w:rsidR="00C02CBE" w:rsidRPr="00C02CBE">
        <w:rPr>
          <w:rFonts w:asciiTheme="minorHAnsi" w:hAnsiTheme="minorHAnsi" w:cs="Tahoma"/>
          <w:szCs w:val="20"/>
        </w:rPr>
        <w:t>p. 279 a č.p. 388, Pelclova ulice</w:t>
      </w:r>
      <w:r w:rsidR="00C02CBE">
        <w:rPr>
          <w:rFonts w:asciiTheme="minorHAnsi" w:hAnsiTheme="minorHAnsi" w:cs="Tahoma"/>
          <w:szCs w:val="20"/>
        </w:rPr>
        <w:t xml:space="preserve"> </w:t>
      </w:r>
      <w:r w:rsidR="00C02CBE" w:rsidRPr="00C02CBE">
        <w:rPr>
          <w:rFonts w:asciiTheme="minorHAnsi" w:hAnsiTheme="minorHAnsi" w:cs="Tahoma"/>
          <w:szCs w:val="20"/>
        </w:rPr>
        <w:t>na bytové jednotky, Kostelec nad Orlicí</w:t>
      </w:r>
      <w:r w:rsidR="00D74CBE" w:rsidRPr="00C02CBE">
        <w:rPr>
          <w:rFonts w:asciiTheme="minorHAnsi" w:hAnsiTheme="minorHAnsi" w:cs="Tahoma"/>
          <w:szCs w:val="20"/>
        </w:rPr>
        <w:t>“</w:t>
      </w:r>
      <w:r w:rsidR="007D39E8" w:rsidRPr="00C02CBE">
        <w:rPr>
          <w:rFonts w:asciiTheme="minorHAnsi" w:hAnsiTheme="minorHAnsi" w:cs="Tahoma"/>
          <w:szCs w:val="20"/>
        </w:rPr>
        <w:t>.</w:t>
      </w:r>
    </w:p>
    <w:p w14:paraId="06CC504E" w14:textId="425C6B8C" w:rsidR="00C02CBE" w:rsidRDefault="00C02CBE" w:rsidP="00137961">
      <w:pPr>
        <w:pStyle w:val="Odstavecseseznamem"/>
        <w:numPr>
          <w:ilvl w:val="1"/>
          <w:numId w:val="68"/>
        </w:numPr>
        <w:suppressAutoHyphens/>
        <w:spacing w:after="120"/>
        <w:ind w:left="567" w:hanging="567"/>
        <w:contextualSpacing w:val="0"/>
        <w:jc w:val="both"/>
        <w:rPr>
          <w:rFonts w:asciiTheme="minorHAnsi" w:hAnsiTheme="minorHAnsi" w:cs="Tahoma"/>
          <w:szCs w:val="20"/>
        </w:rPr>
      </w:pPr>
      <w:bookmarkStart w:id="0" w:name="bookmark8"/>
      <w:bookmarkStart w:id="1" w:name="bookmark9"/>
      <w:r w:rsidRPr="00333239">
        <w:rPr>
          <w:rFonts w:asciiTheme="minorHAnsi" w:hAnsiTheme="minorHAnsi" w:cs="Tahoma"/>
          <w:szCs w:val="20"/>
        </w:rPr>
        <w:t xml:space="preserve">Předmětem </w:t>
      </w:r>
      <w:r w:rsidR="00137961">
        <w:rPr>
          <w:rFonts w:asciiTheme="minorHAnsi" w:hAnsiTheme="minorHAnsi" w:cs="Tahoma"/>
          <w:szCs w:val="20"/>
        </w:rPr>
        <w:t>plnění dle této smlouvy</w:t>
      </w:r>
      <w:r w:rsidRPr="00C02CBE">
        <w:rPr>
          <w:rFonts w:asciiTheme="minorHAnsi" w:hAnsiTheme="minorHAnsi" w:cs="Tahoma"/>
          <w:szCs w:val="20"/>
        </w:rPr>
        <w:t xml:space="preserve"> </w:t>
      </w:r>
      <w:r w:rsidRPr="00333239">
        <w:rPr>
          <w:rFonts w:asciiTheme="minorHAnsi" w:hAnsiTheme="minorHAnsi" w:cs="Tahoma"/>
          <w:szCs w:val="20"/>
        </w:rPr>
        <w:t xml:space="preserve">jsou </w:t>
      </w:r>
      <w:r w:rsidRPr="00C02CBE">
        <w:rPr>
          <w:rFonts w:asciiTheme="minorHAnsi" w:hAnsiTheme="minorHAnsi" w:cs="Tahoma"/>
          <w:szCs w:val="20"/>
        </w:rPr>
        <w:t xml:space="preserve">následující </w:t>
      </w:r>
      <w:r w:rsidRPr="00333239">
        <w:rPr>
          <w:rFonts w:asciiTheme="minorHAnsi" w:hAnsiTheme="minorHAnsi" w:cs="Tahoma"/>
          <w:szCs w:val="20"/>
        </w:rPr>
        <w:t>projekční práce</w:t>
      </w:r>
      <w:r w:rsidRPr="00C02CBE">
        <w:rPr>
          <w:rFonts w:asciiTheme="minorHAnsi" w:hAnsiTheme="minorHAnsi" w:cs="Tahoma"/>
          <w:szCs w:val="20"/>
        </w:rPr>
        <w:t>:</w:t>
      </w:r>
    </w:p>
    <w:p w14:paraId="1787B4FD" w14:textId="77777777" w:rsidR="00215B83" w:rsidRDefault="00215B83" w:rsidP="00215B83">
      <w:pPr>
        <w:suppressAutoHyphens/>
        <w:spacing w:after="120"/>
        <w:jc w:val="both"/>
        <w:rPr>
          <w:rFonts w:asciiTheme="minorHAnsi" w:hAnsiTheme="minorHAnsi" w:cs="Tahoma"/>
          <w:szCs w:val="20"/>
        </w:rPr>
      </w:pPr>
      <w:bookmarkStart w:id="2" w:name="_GoBack"/>
      <w:bookmarkEnd w:id="2"/>
    </w:p>
    <w:p w14:paraId="2AB1A581" w14:textId="77777777" w:rsidR="00215B83" w:rsidRDefault="00215B83" w:rsidP="00735650">
      <w:pPr>
        <w:pStyle w:val="Odstavecseseznamem"/>
        <w:suppressAutoHyphens/>
        <w:spacing w:after="120"/>
        <w:ind w:left="862"/>
        <w:contextualSpacing w:val="0"/>
        <w:jc w:val="both"/>
        <w:rPr>
          <w:rFonts w:asciiTheme="minorHAnsi" w:hAnsiTheme="minorHAnsi" w:cs="Tahoma"/>
          <w:b/>
          <w:szCs w:val="20"/>
        </w:rPr>
      </w:pPr>
    </w:p>
    <w:p w14:paraId="67316307" w14:textId="448A28E3" w:rsidR="00C02CBE" w:rsidRPr="00137961" w:rsidRDefault="00C02CBE" w:rsidP="00137961">
      <w:pPr>
        <w:pStyle w:val="Odstavecseseznamem"/>
        <w:numPr>
          <w:ilvl w:val="2"/>
          <w:numId w:val="68"/>
        </w:numPr>
        <w:suppressAutoHyphens/>
        <w:spacing w:after="120"/>
        <w:contextualSpacing w:val="0"/>
        <w:jc w:val="both"/>
        <w:rPr>
          <w:rFonts w:asciiTheme="minorHAnsi" w:hAnsiTheme="minorHAnsi" w:cs="Tahoma"/>
          <w:b/>
          <w:szCs w:val="20"/>
        </w:rPr>
      </w:pPr>
      <w:r w:rsidRPr="00137961">
        <w:rPr>
          <w:rFonts w:asciiTheme="minorHAnsi" w:hAnsiTheme="minorHAnsi" w:cs="Tahoma"/>
          <w:b/>
          <w:szCs w:val="20"/>
        </w:rPr>
        <w:lastRenderedPageBreak/>
        <w:t>Přípravné práce</w:t>
      </w:r>
      <w:bookmarkEnd w:id="0"/>
      <w:bookmarkEnd w:id="1"/>
      <w:r w:rsidR="00137961">
        <w:rPr>
          <w:rFonts w:asciiTheme="minorHAnsi" w:hAnsiTheme="minorHAnsi" w:cs="Tahoma"/>
          <w:b/>
          <w:szCs w:val="20"/>
        </w:rPr>
        <w:t>:</w:t>
      </w:r>
    </w:p>
    <w:p w14:paraId="73BB5F86"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bookmarkStart w:id="3" w:name="bookmark10"/>
      <w:bookmarkStart w:id="4" w:name="bookmark11"/>
      <w:r w:rsidRPr="00735650">
        <w:rPr>
          <w:rFonts w:asciiTheme="minorHAnsi" w:hAnsiTheme="minorHAnsi" w:cs="Tahoma"/>
          <w:szCs w:val="20"/>
        </w:rPr>
        <w:t>Vypracování pasportizace upravovaných objektů – č.p. 279 a č.p. 388</w:t>
      </w:r>
    </w:p>
    <w:p w14:paraId="764C8E70"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 xml:space="preserve">Zpracování architektonické studie vč. jejího projednání a odsouhlasení objednatelem (v rozsahu dle pozemku </w:t>
      </w:r>
      <w:proofErr w:type="spellStart"/>
      <w:r w:rsidRPr="00735650">
        <w:rPr>
          <w:rFonts w:asciiTheme="minorHAnsi" w:hAnsiTheme="minorHAnsi" w:cs="Tahoma"/>
          <w:szCs w:val="20"/>
        </w:rPr>
        <w:t>parc</w:t>
      </w:r>
      <w:proofErr w:type="spellEnd"/>
      <w:r w:rsidRPr="00735650">
        <w:rPr>
          <w:rFonts w:asciiTheme="minorHAnsi" w:hAnsiTheme="minorHAnsi" w:cs="Tahoma"/>
          <w:szCs w:val="20"/>
        </w:rPr>
        <w:t xml:space="preserve">. č. 691 – zastavěná plocha a nádvoří, jehož součástí je stavba č. p. 279 – stavba občanského vybavení, vč. stavby bez č. p./ č. e. na něm stojící (pozn. nezapsaná v katastru nemovitostí – dílny, sklady) a vč. stavby bez č. p./ č. e. na něm stojící (pozn. nezapsaná v katastru nemovitostí – garáže), pozemku </w:t>
      </w:r>
      <w:proofErr w:type="spellStart"/>
      <w:r w:rsidRPr="00735650">
        <w:rPr>
          <w:rFonts w:asciiTheme="minorHAnsi" w:hAnsiTheme="minorHAnsi" w:cs="Tahoma"/>
          <w:szCs w:val="20"/>
        </w:rPr>
        <w:t>parc</w:t>
      </w:r>
      <w:proofErr w:type="spellEnd"/>
      <w:r w:rsidRPr="00735650">
        <w:rPr>
          <w:rFonts w:asciiTheme="minorHAnsi" w:hAnsiTheme="minorHAnsi" w:cs="Tahoma"/>
          <w:szCs w:val="20"/>
        </w:rPr>
        <w:t xml:space="preserve">. č. 693 – zastavěná plocha a nádvoří, jehož součástí je stavba č. p. 388 – rodinný dům, pozemku </w:t>
      </w:r>
      <w:proofErr w:type="spellStart"/>
      <w:r w:rsidRPr="00735650">
        <w:rPr>
          <w:rFonts w:asciiTheme="minorHAnsi" w:hAnsiTheme="minorHAnsi" w:cs="Tahoma"/>
          <w:szCs w:val="20"/>
        </w:rPr>
        <w:t>parc</w:t>
      </w:r>
      <w:proofErr w:type="spellEnd"/>
      <w:r w:rsidRPr="00735650">
        <w:rPr>
          <w:rFonts w:asciiTheme="minorHAnsi" w:hAnsiTheme="minorHAnsi" w:cs="Tahoma"/>
          <w:szCs w:val="20"/>
        </w:rPr>
        <w:t xml:space="preserve">. č. 694 – zahrada, vč. stavby bez č. p./ č. e. na něm stojící (pozn. nezapsaná v katastru nemovitostí – plechový sklad), pozemku </w:t>
      </w:r>
      <w:proofErr w:type="spellStart"/>
      <w:r w:rsidRPr="00735650">
        <w:rPr>
          <w:rFonts w:asciiTheme="minorHAnsi" w:hAnsiTheme="minorHAnsi" w:cs="Tahoma"/>
          <w:szCs w:val="20"/>
        </w:rPr>
        <w:t>parc</w:t>
      </w:r>
      <w:proofErr w:type="spellEnd"/>
      <w:r w:rsidRPr="00735650">
        <w:rPr>
          <w:rFonts w:asciiTheme="minorHAnsi" w:hAnsiTheme="minorHAnsi" w:cs="Tahoma"/>
          <w:szCs w:val="20"/>
        </w:rPr>
        <w:t xml:space="preserve">. č. 695 – ostatní plocha, a pozemku </w:t>
      </w:r>
      <w:proofErr w:type="spellStart"/>
      <w:r w:rsidRPr="00735650">
        <w:rPr>
          <w:rFonts w:asciiTheme="minorHAnsi" w:hAnsiTheme="minorHAnsi" w:cs="Tahoma"/>
          <w:szCs w:val="20"/>
        </w:rPr>
        <w:t>parc</w:t>
      </w:r>
      <w:proofErr w:type="spellEnd"/>
      <w:r w:rsidRPr="00735650">
        <w:rPr>
          <w:rFonts w:asciiTheme="minorHAnsi" w:hAnsiTheme="minorHAnsi" w:cs="Tahoma"/>
          <w:szCs w:val="20"/>
        </w:rPr>
        <w:t xml:space="preserve">. č. 696 – zahrada, to vše v kat. území Kostelec nad Orlicí, obec Kostelec nad Orlicí). </w:t>
      </w:r>
    </w:p>
    <w:p w14:paraId="72015B24"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 xml:space="preserve">Zajištění veškerých potřebných stavebně-technických průzkumů, jedná se zejména o: statické posouzení, geodetické a hydrogeologické průzkumy, výskyt radonu či další průzkumné práce nebo stavebně technické průzkumy, potřebné pro řádné provedení projekčních prací </w:t>
      </w:r>
    </w:p>
    <w:p w14:paraId="3912690B"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Dodavatel předá výstupy 1x v digitální formě na nosiči CD, ve formátu *.doc nebo *.</w:t>
      </w:r>
      <w:proofErr w:type="spellStart"/>
      <w:r w:rsidRPr="00735650">
        <w:rPr>
          <w:rFonts w:asciiTheme="minorHAnsi" w:hAnsiTheme="minorHAnsi" w:cs="Tahoma"/>
          <w:szCs w:val="20"/>
        </w:rPr>
        <w:t>docx</w:t>
      </w:r>
      <w:proofErr w:type="spellEnd"/>
      <w:r w:rsidRPr="00735650">
        <w:rPr>
          <w:rFonts w:asciiTheme="minorHAnsi" w:hAnsiTheme="minorHAnsi" w:cs="Tahoma"/>
          <w:szCs w:val="20"/>
        </w:rPr>
        <w:t>, výkresová část v CAD formátu *.</w:t>
      </w:r>
      <w:proofErr w:type="spellStart"/>
      <w:r w:rsidRPr="00735650">
        <w:rPr>
          <w:rFonts w:asciiTheme="minorHAnsi" w:hAnsiTheme="minorHAnsi" w:cs="Tahoma"/>
          <w:szCs w:val="20"/>
        </w:rPr>
        <w:t>dwg</w:t>
      </w:r>
      <w:proofErr w:type="spellEnd"/>
      <w:r w:rsidRPr="00735650">
        <w:rPr>
          <w:rFonts w:asciiTheme="minorHAnsi" w:hAnsiTheme="minorHAnsi" w:cs="Tahoma"/>
          <w:szCs w:val="20"/>
        </w:rPr>
        <w:t xml:space="preserve"> a současně ve formátu *.</w:t>
      </w:r>
      <w:proofErr w:type="spellStart"/>
      <w:r w:rsidRPr="00735650">
        <w:rPr>
          <w:rFonts w:asciiTheme="minorHAnsi" w:hAnsiTheme="minorHAnsi" w:cs="Tahoma"/>
          <w:szCs w:val="20"/>
        </w:rPr>
        <w:t>pdf</w:t>
      </w:r>
      <w:proofErr w:type="spellEnd"/>
      <w:r w:rsidRPr="00735650">
        <w:rPr>
          <w:rFonts w:asciiTheme="minorHAnsi" w:hAnsiTheme="minorHAnsi" w:cs="Tahoma"/>
          <w:szCs w:val="20"/>
        </w:rPr>
        <w:t>, tabulkové soubory ve formátu *.</w:t>
      </w:r>
      <w:proofErr w:type="spellStart"/>
      <w:r w:rsidRPr="00735650">
        <w:rPr>
          <w:rFonts w:asciiTheme="minorHAnsi" w:hAnsiTheme="minorHAnsi" w:cs="Tahoma"/>
          <w:szCs w:val="20"/>
        </w:rPr>
        <w:t>xls</w:t>
      </w:r>
      <w:proofErr w:type="spellEnd"/>
      <w:r w:rsidRPr="00735650">
        <w:rPr>
          <w:rFonts w:asciiTheme="minorHAnsi" w:hAnsiTheme="minorHAnsi" w:cs="Tahoma"/>
          <w:szCs w:val="20"/>
        </w:rPr>
        <w:t xml:space="preserve"> nebo *.</w:t>
      </w:r>
      <w:proofErr w:type="spellStart"/>
      <w:r w:rsidRPr="00735650">
        <w:rPr>
          <w:rFonts w:asciiTheme="minorHAnsi" w:hAnsiTheme="minorHAnsi" w:cs="Tahoma"/>
          <w:szCs w:val="20"/>
        </w:rPr>
        <w:t>xlsx</w:t>
      </w:r>
      <w:proofErr w:type="spellEnd"/>
      <w:r w:rsidRPr="00735650">
        <w:rPr>
          <w:rFonts w:asciiTheme="minorHAnsi" w:hAnsiTheme="minorHAnsi" w:cs="Tahoma"/>
          <w:szCs w:val="20"/>
        </w:rPr>
        <w:t>., 3x v tištěné formě autorizované</w:t>
      </w:r>
    </w:p>
    <w:p w14:paraId="29F4852A" w14:textId="77777777" w:rsidR="00C02CBE" w:rsidRPr="00137961" w:rsidRDefault="00C02CBE" w:rsidP="00137961">
      <w:pPr>
        <w:pStyle w:val="Odstavecseseznamem"/>
        <w:numPr>
          <w:ilvl w:val="2"/>
          <w:numId w:val="68"/>
        </w:numPr>
        <w:suppressAutoHyphens/>
        <w:spacing w:after="120"/>
        <w:contextualSpacing w:val="0"/>
        <w:jc w:val="both"/>
        <w:rPr>
          <w:rFonts w:asciiTheme="minorHAnsi" w:hAnsiTheme="minorHAnsi" w:cs="Tahoma"/>
          <w:b/>
          <w:szCs w:val="20"/>
        </w:rPr>
      </w:pPr>
      <w:r w:rsidRPr="00137961">
        <w:rPr>
          <w:rFonts w:asciiTheme="minorHAnsi" w:hAnsiTheme="minorHAnsi" w:cs="Tahoma"/>
          <w:b/>
          <w:szCs w:val="20"/>
        </w:rPr>
        <w:t>Projektová dokumentace pro společné povolení</w:t>
      </w:r>
      <w:bookmarkEnd w:id="3"/>
      <w:bookmarkEnd w:id="4"/>
    </w:p>
    <w:p w14:paraId="21EA541E"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bookmarkStart w:id="5" w:name="bookmark12"/>
      <w:bookmarkStart w:id="6" w:name="bookmark13"/>
      <w:r w:rsidRPr="00735650">
        <w:rPr>
          <w:rFonts w:asciiTheme="minorHAnsi" w:hAnsiTheme="minorHAnsi" w:cs="Tahoma"/>
          <w:szCs w:val="20"/>
        </w:rPr>
        <w:t>Zpracování projektové dokumentace pro společné územní a stavební řízení, včetně propočtu nákladů stavby dle schválené architektonické studie</w:t>
      </w:r>
    </w:p>
    <w:p w14:paraId="35A9C24A"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Zajištění inženýrské činnosti, tj. obstarání vyjádření dotčených organizací až po podání žádosti o společné povolení</w:t>
      </w:r>
    </w:p>
    <w:p w14:paraId="4C8F5DFC"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Součástí PD bude dokladová část a dále informace o tom, zda a v jakých částech dokumentace jsou zohledněny podmínky závazných stanovisek dotčených orgánů.</w:t>
      </w:r>
    </w:p>
    <w:p w14:paraId="331562DE"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Projektová dokumentace bude zpracována v rozsahu přílohy č. 1, přílohy č. 12, resp. přílohy č. 8 k vyhlášce č. 499/2006 Sb., o dokumentaci staveb, v platném znění, a to pro stavební nebo inženýrský objekt, technická a technologická zařízení, vnitřní vybavení a interiér.</w:t>
      </w:r>
    </w:p>
    <w:p w14:paraId="567E9BB7"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Projektová dokumentace bouracích prací vypracovaná dle přílohy č. 15 vyhlášky č. 499/2006 Sb., o dokumentaci staveb, v platném znění, a to pro stavební nebo inženýrský objekt, technická a technologická zařízení, vnitřní vybavení a interiér</w:t>
      </w:r>
    </w:p>
    <w:p w14:paraId="522896BE"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Součástí zpracování této části VZ bude zpracování žádosti nutné pro zahájení příslušného řízení o umístění a povolení stavby.</w:t>
      </w:r>
    </w:p>
    <w:p w14:paraId="7A2BDA00"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Dodavatel předá výstupy 1x v digitální formě na nosiči CD, ve formátu *.doc nebo *.</w:t>
      </w:r>
      <w:proofErr w:type="spellStart"/>
      <w:r w:rsidRPr="00735650">
        <w:rPr>
          <w:rFonts w:asciiTheme="minorHAnsi" w:hAnsiTheme="minorHAnsi" w:cs="Tahoma"/>
          <w:szCs w:val="20"/>
        </w:rPr>
        <w:t>docx</w:t>
      </w:r>
      <w:proofErr w:type="spellEnd"/>
      <w:r w:rsidRPr="00735650">
        <w:rPr>
          <w:rFonts w:asciiTheme="minorHAnsi" w:hAnsiTheme="minorHAnsi" w:cs="Tahoma"/>
          <w:szCs w:val="20"/>
        </w:rPr>
        <w:t>, výkresová část v CAD formátu *.</w:t>
      </w:r>
      <w:proofErr w:type="spellStart"/>
      <w:r w:rsidRPr="00735650">
        <w:rPr>
          <w:rFonts w:asciiTheme="minorHAnsi" w:hAnsiTheme="minorHAnsi" w:cs="Tahoma"/>
          <w:szCs w:val="20"/>
        </w:rPr>
        <w:t>dwg</w:t>
      </w:r>
      <w:proofErr w:type="spellEnd"/>
      <w:r w:rsidRPr="00735650">
        <w:rPr>
          <w:rFonts w:asciiTheme="minorHAnsi" w:hAnsiTheme="minorHAnsi" w:cs="Tahoma"/>
          <w:szCs w:val="20"/>
        </w:rPr>
        <w:t xml:space="preserve"> a současně ve formátu *.</w:t>
      </w:r>
      <w:proofErr w:type="spellStart"/>
      <w:r w:rsidRPr="00735650">
        <w:rPr>
          <w:rFonts w:asciiTheme="minorHAnsi" w:hAnsiTheme="minorHAnsi" w:cs="Tahoma"/>
          <w:szCs w:val="20"/>
        </w:rPr>
        <w:t>pdf</w:t>
      </w:r>
      <w:proofErr w:type="spellEnd"/>
      <w:r w:rsidRPr="00735650">
        <w:rPr>
          <w:rFonts w:asciiTheme="minorHAnsi" w:hAnsiTheme="minorHAnsi" w:cs="Tahoma"/>
          <w:szCs w:val="20"/>
        </w:rPr>
        <w:t>, tabulkové soubory ve formátu *.</w:t>
      </w:r>
      <w:proofErr w:type="spellStart"/>
      <w:r w:rsidRPr="00735650">
        <w:rPr>
          <w:rFonts w:asciiTheme="minorHAnsi" w:hAnsiTheme="minorHAnsi" w:cs="Tahoma"/>
          <w:szCs w:val="20"/>
        </w:rPr>
        <w:t>xls</w:t>
      </w:r>
      <w:proofErr w:type="spellEnd"/>
      <w:r w:rsidRPr="00735650">
        <w:rPr>
          <w:rFonts w:asciiTheme="minorHAnsi" w:hAnsiTheme="minorHAnsi" w:cs="Tahoma"/>
          <w:szCs w:val="20"/>
        </w:rPr>
        <w:t xml:space="preserve"> nebo *.</w:t>
      </w:r>
      <w:proofErr w:type="spellStart"/>
      <w:r w:rsidRPr="00735650">
        <w:rPr>
          <w:rFonts w:asciiTheme="minorHAnsi" w:hAnsiTheme="minorHAnsi" w:cs="Tahoma"/>
          <w:szCs w:val="20"/>
        </w:rPr>
        <w:t>xlsx</w:t>
      </w:r>
      <w:proofErr w:type="spellEnd"/>
      <w:r w:rsidRPr="00735650">
        <w:rPr>
          <w:rFonts w:asciiTheme="minorHAnsi" w:hAnsiTheme="minorHAnsi" w:cs="Tahoma"/>
          <w:szCs w:val="20"/>
        </w:rPr>
        <w:t xml:space="preserve">., 2x v tištěné formě autorizované + 2x v tištěné formě; jedno </w:t>
      </w:r>
      <w:proofErr w:type="spellStart"/>
      <w:r w:rsidRPr="00735650">
        <w:rPr>
          <w:rFonts w:asciiTheme="minorHAnsi" w:hAnsiTheme="minorHAnsi" w:cs="Tahoma"/>
          <w:szCs w:val="20"/>
        </w:rPr>
        <w:t>paré</w:t>
      </w:r>
      <w:proofErr w:type="spellEnd"/>
      <w:r w:rsidRPr="00735650">
        <w:rPr>
          <w:rFonts w:asciiTheme="minorHAnsi" w:hAnsiTheme="minorHAnsi" w:cs="Tahoma"/>
          <w:szCs w:val="20"/>
        </w:rPr>
        <w:t xml:space="preserve"> bude obsahovat originály dokumentů.</w:t>
      </w:r>
    </w:p>
    <w:p w14:paraId="16E08FD7" w14:textId="77777777" w:rsidR="00C02CBE" w:rsidRPr="00137961" w:rsidRDefault="00C02CBE" w:rsidP="00137961">
      <w:pPr>
        <w:pStyle w:val="Odstavecseseznamem"/>
        <w:numPr>
          <w:ilvl w:val="2"/>
          <w:numId w:val="68"/>
        </w:numPr>
        <w:suppressAutoHyphens/>
        <w:spacing w:after="120"/>
        <w:contextualSpacing w:val="0"/>
        <w:jc w:val="both"/>
        <w:rPr>
          <w:rFonts w:asciiTheme="minorHAnsi" w:hAnsiTheme="minorHAnsi" w:cs="Tahoma"/>
          <w:b/>
          <w:szCs w:val="20"/>
        </w:rPr>
      </w:pPr>
      <w:r w:rsidRPr="00137961">
        <w:rPr>
          <w:rFonts w:asciiTheme="minorHAnsi" w:hAnsiTheme="minorHAnsi" w:cs="Tahoma"/>
          <w:b/>
          <w:szCs w:val="20"/>
        </w:rPr>
        <w:t>Projektová dokumentace pro výběr zhotovitele stavby</w:t>
      </w:r>
      <w:bookmarkEnd w:id="5"/>
      <w:bookmarkEnd w:id="6"/>
    </w:p>
    <w:p w14:paraId="502D1F63"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Zpracování projektové dokumentace pro výběr zhotovitele stavby a provádění stavby vč. soupisu stavebních prací, dodávek a služeb s výkazem výměr dle ověřené dokumentace ve stavebním řízení</w:t>
      </w:r>
    </w:p>
    <w:p w14:paraId="6E19E850"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Projektová dokumentace bude zpracována v rozsahu přílohy č. 13 k vyhlášce č. 499/2006 Sb., o dokumentaci staveb, v platném znění, a to pro stavební nebo inženýrský objekt, technická a technologická zařízení, vnitřní vybavení a interiér</w:t>
      </w:r>
    </w:p>
    <w:p w14:paraId="72F22C9C"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Dodavatel předá výstupy 1x v digitální formě na nosiči CD, ve formátu *.doc nebo *.</w:t>
      </w:r>
      <w:proofErr w:type="spellStart"/>
      <w:r w:rsidRPr="00735650">
        <w:rPr>
          <w:rFonts w:asciiTheme="minorHAnsi" w:hAnsiTheme="minorHAnsi" w:cs="Tahoma"/>
          <w:szCs w:val="20"/>
        </w:rPr>
        <w:t>docx</w:t>
      </w:r>
      <w:proofErr w:type="spellEnd"/>
      <w:r w:rsidRPr="00735650">
        <w:rPr>
          <w:rFonts w:asciiTheme="minorHAnsi" w:hAnsiTheme="minorHAnsi" w:cs="Tahoma"/>
          <w:szCs w:val="20"/>
        </w:rPr>
        <w:t>, výkresová část v CAD formátu *.</w:t>
      </w:r>
      <w:proofErr w:type="spellStart"/>
      <w:r w:rsidRPr="00735650">
        <w:rPr>
          <w:rFonts w:asciiTheme="minorHAnsi" w:hAnsiTheme="minorHAnsi" w:cs="Tahoma"/>
          <w:szCs w:val="20"/>
        </w:rPr>
        <w:t>dwg</w:t>
      </w:r>
      <w:proofErr w:type="spellEnd"/>
      <w:r w:rsidRPr="00735650">
        <w:rPr>
          <w:rFonts w:asciiTheme="minorHAnsi" w:hAnsiTheme="minorHAnsi" w:cs="Tahoma"/>
          <w:szCs w:val="20"/>
        </w:rPr>
        <w:t xml:space="preserve"> a současně ve formátu *.</w:t>
      </w:r>
      <w:proofErr w:type="spellStart"/>
      <w:r w:rsidRPr="00735650">
        <w:rPr>
          <w:rFonts w:asciiTheme="minorHAnsi" w:hAnsiTheme="minorHAnsi" w:cs="Tahoma"/>
          <w:szCs w:val="20"/>
        </w:rPr>
        <w:t>pdf</w:t>
      </w:r>
      <w:proofErr w:type="spellEnd"/>
      <w:r w:rsidRPr="00735650">
        <w:rPr>
          <w:rFonts w:asciiTheme="minorHAnsi" w:hAnsiTheme="minorHAnsi" w:cs="Tahoma"/>
          <w:szCs w:val="20"/>
        </w:rPr>
        <w:t>, tabulkové soubory ve formátu *.</w:t>
      </w:r>
      <w:proofErr w:type="spellStart"/>
      <w:r w:rsidRPr="00735650">
        <w:rPr>
          <w:rFonts w:asciiTheme="minorHAnsi" w:hAnsiTheme="minorHAnsi" w:cs="Tahoma"/>
          <w:szCs w:val="20"/>
        </w:rPr>
        <w:t>xls</w:t>
      </w:r>
      <w:proofErr w:type="spellEnd"/>
      <w:r w:rsidRPr="00735650">
        <w:rPr>
          <w:rFonts w:asciiTheme="minorHAnsi" w:hAnsiTheme="minorHAnsi" w:cs="Tahoma"/>
          <w:szCs w:val="20"/>
        </w:rPr>
        <w:t xml:space="preserve"> nebo *.</w:t>
      </w:r>
      <w:proofErr w:type="spellStart"/>
      <w:r w:rsidRPr="00735650">
        <w:rPr>
          <w:rFonts w:asciiTheme="minorHAnsi" w:hAnsiTheme="minorHAnsi" w:cs="Tahoma"/>
          <w:szCs w:val="20"/>
        </w:rPr>
        <w:t>xlsx</w:t>
      </w:r>
      <w:proofErr w:type="spellEnd"/>
      <w:r w:rsidRPr="00735650">
        <w:rPr>
          <w:rFonts w:asciiTheme="minorHAnsi" w:hAnsiTheme="minorHAnsi" w:cs="Tahoma"/>
          <w:szCs w:val="20"/>
        </w:rPr>
        <w:t>., 6x v tištěné formě autorizované</w:t>
      </w:r>
    </w:p>
    <w:p w14:paraId="4FA65DEC"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Oceněný a neoceněný soupis stavebních prací, dodávek a služeb s výkazem výměr v rozsahu stanoveném prováděcím právním předpisem, vyhláškou č. 169/2016 Sb., bude předán ve formátu *.</w:t>
      </w:r>
      <w:proofErr w:type="spellStart"/>
      <w:r w:rsidRPr="00735650">
        <w:rPr>
          <w:rFonts w:asciiTheme="minorHAnsi" w:hAnsiTheme="minorHAnsi" w:cs="Tahoma"/>
          <w:szCs w:val="20"/>
        </w:rPr>
        <w:t>xls</w:t>
      </w:r>
      <w:proofErr w:type="spellEnd"/>
      <w:r w:rsidRPr="00735650">
        <w:rPr>
          <w:rFonts w:asciiTheme="minorHAnsi" w:hAnsiTheme="minorHAnsi" w:cs="Tahoma"/>
          <w:szCs w:val="20"/>
        </w:rPr>
        <w:t xml:space="preserve"> nebo *.</w:t>
      </w:r>
      <w:proofErr w:type="spellStart"/>
      <w:r w:rsidRPr="00735650">
        <w:rPr>
          <w:rFonts w:asciiTheme="minorHAnsi" w:hAnsiTheme="minorHAnsi" w:cs="Tahoma"/>
          <w:szCs w:val="20"/>
        </w:rPr>
        <w:t>xlsx</w:t>
      </w:r>
      <w:proofErr w:type="spellEnd"/>
      <w:r w:rsidRPr="00735650">
        <w:rPr>
          <w:rFonts w:asciiTheme="minorHAnsi" w:hAnsiTheme="minorHAnsi" w:cs="Tahoma"/>
          <w:szCs w:val="20"/>
        </w:rPr>
        <w:t xml:space="preserve"> a tištěné formě autorizované.</w:t>
      </w:r>
    </w:p>
    <w:p w14:paraId="3C6E0D50"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lastRenderedPageBreak/>
        <w:t xml:space="preserve">V případě potřeby dalších </w:t>
      </w:r>
      <w:proofErr w:type="spellStart"/>
      <w:r w:rsidRPr="00735650">
        <w:rPr>
          <w:rFonts w:asciiTheme="minorHAnsi" w:hAnsiTheme="minorHAnsi" w:cs="Tahoma"/>
          <w:szCs w:val="20"/>
        </w:rPr>
        <w:t>vícetisků</w:t>
      </w:r>
      <w:proofErr w:type="spellEnd"/>
      <w:r w:rsidRPr="00735650">
        <w:rPr>
          <w:rFonts w:asciiTheme="minorHAnsi" w:hAnsiTheme="minorHAnsi" w:cs="Tahoma"/>
          <w:szCs w:val="20"/>
        </w:rPr>
        <w:t xml:space="preserve"> dodavatel </w:t>
      </w:r>
      <w:proofErr w:type="spellStart"/>
      <w:r w:rsidRPr="00735650">
        <w:rPr>
          <w:rFonts w:asciiTheme="minorHAnsi" w:hAnsiTheme="minorHAnsi" w:cs="Tahoma"/>
          <w:szCs w:val="20"/>
        </w:rPr>
        <w:t>vícetisky</w:t>
      </w:r>
      <w:proofErr w:type="spellEnd"/>
      <w:r w:rsidRPr="00735650">
        <w:rPr>
          <w:rFonts w:asciiTheme="minorHAnsi" w:hAnsiTheme="minorHAnsi" w:cs="Tahoma"/>
          <w:szCs w:val="20"/>
        </w:rPr>
        <w:t xml:space="preserve"> zhotoví mimo sjednanou smluvní cenu pouze za cenu nákladů na zhotovení kopií za ceny obvyklé v PLG centrech včetně kompletace.</w:t>
      </w:r>
    </w:p>
    <w:p w14:paraId="65018316" w14:textId="77777777" w:rsidR="00735650" w:rsidRPr="00735650" w:rsidRDefault="00735650" w:rsidP="00735650">
      <w:pPr>
        <w:pStyle w:val="Odstavecseseznamem"/>
        <w:numPr>
          <w:ilvl w:val="3"/>
          <w:numId w:val="70"/>
        </w:numPr>
        <w:suppressAutoHyphens/>
        <w:spacing w:after="120"/>
        <w:ind w:left="1276" w:hanging="796"/>
        <w:contextualSpacing w:val="0"/>
        <w:jc w:val="both"/>
        <w:rPr>
          <w:rFonts w:asciiTheme="minorHAnsi" w:hAnsiTheme="minorHAnsi" w:cs="Tahoma"/>
          <w:szCs w:val="20"/>
        </w:rPr>
      </w:pPr>
      <w:r w:rsidRPr="00735650">
        <w:rPr>
          <w:rFonts w:asciiTheme="minorHAnsi" w:hAnsiTheme="minorHAnsi" w:cs="Tahoma"/>
          <w:szCs w:val="20"/>
        </w:rPr>
        <w:t>Projektant zadavateli poskytne součinnost v průběhu zadávacího řízení při výběru zhotovitele stavby. V rámci této součinnosti je projektant povinen reagovat na dotazy zaslané zadavatelem v rámci zadávacího řízení na provádění stavby, resp. na dodávku technologického a ostatního vybavení stavby, odstranit případné nedostatky a nejasnosti v projektové dokumentaci pro provedení stavby, a to ve lhůtě max. 1 pracovního dne od doručení dotazu zadavatelem, pokud nebude po vzájemné dohodě stanoveno jinak.</w:t>
      </w:r>
    </w:p>
    <w:p w14:paraId="0104A78C" w14:textId="7DAE36E6" w:rsidR="00137961" w:rsidRDefault="00137961" w:rsidP="00137961">
      <w:pPr>
        <w:pStyle w:val="Odstavecseseznamem"/>
        <w:numPr>
          <w:ilvl w:val="1"/>
          <w:numId w:val="68"/>
        </w:numPr>
        <w:suppressAutoHyphens/>
        <w:spacing w:after="120"/>
        <w:ind w:left="567" w:hanging="567"/>
        <w:contextualSpacing w:val="0"/>
        <w:jc w:val="both"/>
        <w:rPr>
          <w:rFonts w:asciiTheme="minorHAnsi" w:hAnsiTheme="minorHAnsi" w:cs="Tahoma"/>
          <w:b/>
          <w:szCs w:val="20"/>
        </w:rPr>
      </w:pPr>
      <w:r w:rsidRPr="00137961">
        <w:rPr>
          <w:rFonts w:asciiTheme="minorHAnsi" w:hAnsiTheme="minorHAnsi" w:cs="Tahoma"/>
          <w:b/>
          <w:szCs w:val="20"/>
        </w:rPr>
        <w:t xml:space="preserve">Požadavky </w:t>
      </w:r>
      <w:r>
        <w:rPr>
          <w:rFonts w:asciiTheme="minorHAnsi" w:hAnsiTheme="minorHAnsi" w:cs="Tahoma"/>
          <w:b/>
          <w:szCs w:val="20"/>
        </w:rPr>
        <w:t>objednatel</w:t>
      </w:r>
      <w:r w:rsidRPr="00137961">
        <w:rPr>
          <w:rFonts w:asciiTheme="minorHAnsi" w:hAnsiTheme="minorHAnsi" w:cs="Tahoma"/>
          <w:b/>
          <w:szCs w:val="20"/>
        </w:rPr>
        <w:t>e na zpracování všech stupňů projektové dokumentace:</w:t>
      </w:r>
    </w:p>
    <w:p w14:paraId="2A9C5032"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Všechny stupně projektové dokumentace budou průběžně konzultovány s objednatelem dle dohodnutého harmonogramu projekčních prací a objednatelem před odevzdáním odsouhlaseny.</w:t>
      </w:r>
    </w:p>
    <w:p w14:paraId="49BD59B1"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Zpracování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0026C43E"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Součástí projektové dokumentace pro provádění stavby budou technické a uživatelské standardy.</w:t>
      </w:r>
    </w:p>
    <w:p w14:paraId="6A432DBA" w14:textId="1F2F37DD"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 xml:space="preserve">Projektová dokumentace musí splňovat požadavek </w:t>
      </w:r>
      <w:r>
        <w:rPr>
          <w:rFonts w:asciiTheme="minorHAnsi" w:hAnsiTheme="minorHAnsi" w:cs="Tahoma"/>
          <w:szCs w:val="20"/>
        </w:rPr>
        <w:t>objednatel</w:t>
      </w:r>
      <w:r w:rsidRPr="00137961">
        <w:rPr>
          <w:rFonts w:asciiTheme="minorHAnsi" w:hAnsiTheme="minorHAnsi" w:cs="Tahoma"/>
          <w:szCs w:val="20"/>
        </w:rPr>
        <w:t xml:space="preserve">e, aby zpracovatel projektové dokumentace (PD) popsal předmět veřejné zakázky v jednotlivých stupních PD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w:t>
      </w:r>
      <w:r>
        <w:rPr>
          <w:rFonts w:asciiTheme="minorHAnsi" w:hAnsiTheme="minorHAnsi" w:cs="Tahoma"/>
          <w:szCs w:val="20"/>
        </w:rPr>
        <w:t>zhotovitel</w:t>
      </w:r>
      <w:r w:rsidRPr="00137961">
        <w:rPr>
          <w:rFonts w:asciiTheme="minorHAnsi" w:hAnsiTheme="minorHAnsi" w:cs="Tahoma"/>
          <w:szCs w:val="20"/>
        </w:rPr>
        <w:t xml:space="preserve">e nebo výrobky tím, že technické podmínky stanoví prostřednictvím přímého nebo nepřímého odkazu na určité </w:t>
      </w:r>
      <w:r>
        <w:rPr>
          <w:rFonts w:asciiTheme="minorHAnsi" w:hAnsiTheme="minorHAnsi" w:cs="Tahoma"/>
          <w:szCs w:val="20"/>
        </w:rPr>
        <w:t>zhotovitel</w:t>
      </w:r>
      <w:r w:rsidRPr="00137961">
        <w:rPr>
          <w:rFonts w:asciiTheme="minorHAnsi" w:hAnsiTheme="minorHAnsi" w:cs="Tahoma"/>
          <w:szCs w:val="20"/>
        </w:rPr>
        <w:t>e nebo výrobky, nebo patenty na vynálezy, užitné vzory, průmyslové vzory, ochran</w:t>
      </w:r>
      <w:r w:rsidR="00735650">
        <w:rPr>
          <w:rFonts w:asciiTheme="minorHAnsi" w:hAnsiTheme="minorHAnsi" w:cs="Tahoma"/>
          <w:szCs w:val="20"/>
        </w:rPr>
        <w:t>né známky nebo označení původu.</w:t>
      </w:r>
    </w:p>
    <w:p w14:paraId="2E3E230C" w14:textId="082FDA0E"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 xml:space="preserve">Je-li požadován standard určitého stavebně-technologického prvku, vyjádřený přímým nebo nepřímým odkazem, je tím myšlena kvalitativní úroveň shodná, popř. vyšší než reprezentuje uváděný odkaz. </w:t>
      </w:r>
      <w:r>
        <w:rPr>
          <w:rFonts w:asciiTheme="minorHAnsi" w:hAnsiTheme="minorHAnsi" w:cs="Tahoma"/>
          <w:szCs w:val="20"/>
        </w:rPr>
        <w:t>Objednatel</w:t>
      </w:r>
      <w:r w:rsidRPr="00137961">
        <w:rPr>
          <w:rFonts w:asciiTheme="minorHAnsi" w:hAnsiTheme="minorHAnsi" w:cs="Tahoma"/>
          <w:szCs w:val="20"/>
        </w:rPr>
        <w:t xml:space="preserve"> požaduje uvést u každého takového konkrétního označení informaci o možnosti nabídnout a využít jiný rovnocenný stavebně-technologický prvek. Zpracovatel PD takovýto postup projedná se </w:t>
      </w:r>
      <w:r>
        <w:rPr>
          <w:rFonts w:asciiTheme="minorHAnsi" w:hAnsiTheme="minorHAnsi" w:cs="Tahoma"/>
          <w:szCs w:val="20"/>
        </w:rPr>
        <w:t>objednatel</w:t>
      </w:r>
      <w:r w:rsidRPr="00137961">
        <w:rPr>
          <w:rFonts w:asciiTheme="minorHAnsi" w:hAnsiTheme="minorHAnsi" w:cs="Tahoma"/>
          <w:szCs w:val="20"/>
        </w:rPr>
        <w:t>em a v takovémto případě uvede v PD, že je umožněno účastníkovi pro plnění veřejné zakázky použití i jiných, kvalitativně a technicky obdobných řešení.</w:t>
      </w:r>
    </w:p>
    <w:p w14:paraId="6CC08044"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Zpracovaná projektová dokumentace, na základě které bude provedena stavba včetně zabudovaných technologií, bude způsobilá pro použití k ujednaným, případně jinak obvyklým účelům a zachová si ujednané, případně jinak obvyklé vlastnosti při dodržení předepsaných servisních činností.</w:t>
      </w:r>
    </w:p>
    <w:p w14:paraId="3005A84A" w14:textId="4EEFC02B" w:rsidR="00137961" w:rsidRPr="00137961" w:rsidRDefault="00137961" w:rsidP="00137961">
      <w:pPr>
        <w:pStyle w:val="Odstavecseseznamem"/>
        <w:numPr>
          <w:ilvl w:val="1"/>
          <w:numId w:val="68"/>
        </w:numPr>
        <w:suppressAutoHyphens/>
        <w:spacing w:after="120"/>
        <w:ind w:left="567" w:hanging="567"/>
        <w:contextualSpacing w:val="0"/>
        <w:jc w:val="both"/>
        <w:rPr>
          <w:rFonts w:asciiTheme="minorHAnsi" w:hAnsiTheme="minorHAnsi" w:cs="Tahoma"/>
          <w:b/>
          <w:szCs w:val="20"/>
        </w:rPr>
      </w:pPr>
      <w:r>
        <w:rPr>
          <w:rFonts w:asciiTheme="minorHAnsi" w:hAnsiTheme="minorHAnsi" w:cs="Tahoma"/>
          <w:b/>
          <w:szCs w:val="20"/>
        </w:rPr>
        <w:t>Další podmínky k plnění předmětu smlouvy</w:t>
      </w:r>
    </w:p>
    <w:p w14:paraId="6415F4D3"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Součástí předmětu veřejné zakázky není objekt tělocvičny.</w:t>
      </w:r>
    </w:p>
    <w:p w14:paraId="395E299B" w14:textId="516B61CB"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Pr>
          <w:rFonts w:asciiTheme="minorHAnsi" w:hAnsiTheme="minorHAnsi" w:cs="Tahoma"/>
          <w:szCs w:val="20"/>
        </w:rPr>
        <w:t>Objednatel</w:t>
      </w:r>
      <w:r w:rsidRPr="00137961">
        <w:rPr>
          <w:rFonts w:asciiTheme="minorHAnsi" w:hAnsiTheme="minorHAnsi" w:cs="Tahoma"/>
          <w:szCs w:val="20"/>
        </w:rPr>
        <w:t xml:space="preserve"> neurčil počet bytů – počet bytů je limitován podlahovými plochami rekonstruovaných objektů. Počet bytů bude zpřesněn v průběhu zpracování architektonické studie.</w:t>
      </w:r>
    </w:p>
    <w:p w14:paraId="6C6EE8D0" w14:textId="7C52A024"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Pr>
          <w:rFonts w:asciiTheme="minorHAnsi" w:hAnsiTheme="minorHAnsi" w:cs="Tahoma"/>
          <w:szCs w:val="20"/>
        </w:rPr>
        <w:t>Objednatel</w:t>
      </w:r>
      <w:r w:rsidRPr="00137961">
        <w:rPr>
          <w:rFonts w:asciiTheme="minorHAnsi" w:hAnsiTheme="minorHAnsi" w:cs="Tahoma"/>
          <w:szCs w:val="20"/>
        </w:rPr>
        <w:t xml:space="preserve"> upřednostňuje různou skladbu velikosti bytů. Navržené členění bude upřesněno v průběhu zpracování architektonické studie.</w:t>
      </w:r>
    </w:p>
    <w:p w14:paraId="75E654AB"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Vyřízení dotace bude řešit investor popřípadě jím pověřená osoba.</w:t>
      </w:r>
    </w:p>
    <w:p w14:paraId="204B0D8C"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Předpokládaná hodnota hmotného zhotovení domu není známa. Zhotovení budovy není omezeno konkrétní rozpočtovou částkou. Cena bude zpřesněna v průběhu zpracování architektonické studie.</w:t>
      </w:r>
    </w:p>
    <w:p w14:paraId="7A537D36"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lastRenderedPageBreak/>
        <w:t>Na parcelách dotčených stavbou je umístěn: STL plynovod, kanalizace, vodovod, optický kabel CETIN, kabel NN včetně přípojek.</w:t>
      </w:r>
    </w:p>
    <w:p w14:paraId="0415F57A" w14:textId="717EE3B0"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 xml:space="preserve">Velikost bytu je součtem všech místností bytu a jeho příslušenství, a to i mimo byt, pokud jsou užívány výhradně nájemcem bytu. Podlahová plocha nájemního bytu vč. započtení i jeho příslušenství nesmí překročit 80 m2. </w:t>
      </w:r>
    </w:p>
    <w:p w14:paraId="5976EB90" w14:textId="77777777"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sidRPr="00137961">
        <w:rPr>
          <w:rFonts w:asciiTheme="minorHAnsi" w:hAnsiTheme="minorHAnsi" w:cs="Tahoma"/>
          <w:szCs w:val="20"/>
        </w:rPr>
        <w:t>Z každých započatých 5 nájemních bytů musí být minimálně jeden byt upravitelný dle vyhlášky</w:t>
      </w:r>
      <w:r w:rsidRPr="00137961">
        <w:rPr>
          <w:rFonts w:asciiTheme="minorHAnsi" w:hAnsiTheme="minorHAnsi" w:cs="Tahoma"/>
          <w:szCs w:val="20"/>
        </w:rPr>
        <w:br/>
        <w:t>č. 398/2009 Sb., o obecných technických požadavcích zabezpečujících bezbariérové užívání staveb.</w:t>
      </w:r>
    </w:p>
    <w:p w14:paraId="4237CD87" w14:textId="255A1438" w:rsidR="00137961" w:rsidRPr="00137961" w:rsidRDefault="00137961" w:rsidP="00137961">
      <w:pPr>
        <w:pStyle w:val="Odstavecseseznamem"/>
        <w:numPr>
          <w:ilvl w:val="2"/>
          <w:numId w:val="68"/>
        </w:numPr>
        <w:suppressAutoHyphens/>
        <w:spacing w:after="120"/>
        <w:contextualSpacing w:val="0"/>
        <w:jc w:val="both"/>
        <w:rPr>
          <w:rFonts w:asciiTheme="minorHAnsi" w:hAnsiTheme="minorHAnsi" w:cs="Tahoma"/>
          <w:szCs w:val="20"/>
        </w:rPr>
      </w:pPr>
      <w:r>
        <w:rPr>
          <w:rFonts w:asciiTheme="minorHAnsi" w:hAnsiTheme="minorHAnsi" w:cs="Tahoma"/>
          <w:szCs w:val="20"/>
        </w:rPr>
        <w:t>Objednatel</w:t>
      </w:r>
      <w:r w:rsidRPr="00137961">
        <w:rPr>
          <w:rFonts w:asciiTheme="minorHAnsi" w:hAnsiTheme="minorHAnsi" w:cs="Tahoma"/>
          <w:szCs w:val="20"/>
        </w:rPr>
        <w:t xml:space="preserve"> nevylučuje komerční využití prostor bytového domu.</w:t>
      </w:r>
    </w:p>
    <w:p w14:paraId="71D48231" w14:textId="7B5D5DCE" w:rsidR="00137961" w:rsidRPr="00735650" w:rsidRDefault="00AA1715" w:rsidP="00137961">
      <w:pPr>
        <w:pStyle w:val="Odstavecseseznamem"/>
        <w:numPr>
          <w:ilvl w:val="2"/>
          <w:numId w:val="68"/>
        </w:numPr>
        <w:suppressAutoHyphens/>
        <w:spacing w:after="120"/>
        <w:contextualSpacing w:val="0"/>
        <w:jc w:val="both"/>
        <w:rPr>
          <w:rFonts w:asciiTheme="minorHAnsi" w:hAnsiTheme="minorHAnsi" w:cs="Tahoma"/>
          <w:szCs w:val="20"/>
        </w:rPr>
      </w:pPr>
      <w:r w:rsidRPr="00735650">
        <w:rPr>
          <w:rFonts w:asciiTheme="minorHAnsi" w:hAnsiTheme="minorHAnsi" w:cs="Tahoma"/>
          <w:szCs w:val="20"/>
        </w:rPr>
        <w:t xml:space="preserve">Zadavatel předpokládá financování </w:t>
      </w:r>
      <w:r w:rsidR="00735650" w:rsidRPr="00735650">
        <w:rPr>
          <w:rFonts w:asciiTheme="minorHAnsi" w:hAnsiTheme="minorHAnsi" w:cs="Tahoma"/>
          <w:szCs w:val="20"/>
        </w:rPr>
        <w:t>akce prostřednictvím</w:t>
      </w:r>
      <w:r w:rsidRPr="00735650">
        <w:rPr>
          <w:rFonts w:asciiTheme="minorHAnsi" w:hAnsiTheme="minorHAnsi" w:cs="Tahoma"/>
          <w:szCs w:val="20"/>
        </w:rPr>
        <w:t xml:space="preserve"> dotačního titulu. Zadavatel předpokládá realizaci projektu (stavby) po etapách. </w:t>
      </w:r>
      <w:r w:rsidR="00137961" w:rsidRPr="00735650">
        <w:rPr>
          <w:rFonts w:asciiTheme="minorHAnsi" w:hAnsiTheme="minorHAnsi" w:cs="Tahoma"/>
          <w:szCs w:val="20"/>
        </w:rPr>
        <w:t>Objednatel jako objednatel si v závislosti na přidělení dotace vyhrazuje právo změnit termíny zahájení a dokončení díla. V případě, že dotace nebude přidělena, má objednatel právo odstoupit od smlouvy, nejpozději však do dne zahájení prací na zakázce. Účastník jako zhotovitel není oprávněn požadovat náhradu škody, resp. ušlého zisku z důvodu odstoupení objednatele od smlouvy pro nepřidělení dotace k realizaci předmětu plnění této veřejné zakázky.</w:t>
      </w:r>
    </w:p>
    <w:p w14:paraId="06E92370" w14:textId="41EF3DF9" w:rsidR="000E48B5" w:rsidRPr="00137961" w:rsidRDefault="000E48B5" w:rsidP="00885726">
      <w:pPr>
        <w:pStyle w:val="Odstavecseseznamem"/>
        <w:numPr>
          <w:ilvl w:val="0"/>
          <w:numId w:val="68"/>
        </w:numPr>
        <w:suppressAutoHyphens/>
        <w:ind w:left="0" w:firstLine="0"/>
        <w:contextualSpacing w:val="0"/>
        <w:jc w:val="center"/>
        <w:rPr>
          <w:rFonts w:asciiTheme="minorHAnsi" w:hAnsiTheme="minorHAnsi" w:cs="Tahoma"/>
          <w:b/>
          <w:szCs w:val="20"/>
        </w:rPr>
      </w:pPr>
    </w:p>
    <w:p w14:paraId="390134AA" w14:textId="77777777" w:rsidR="000E48B5" w:rsidRPr="00137961" w:rsidRDefault="000E48B5" w:rsidP="00885726">
      <w:pPr>
        <w:pStyle w:val="Odstavecseseznamem"/>
        <w:suppressAutoHyphens/>
        <w:ind w:left="0"/>
        <w:contextualSpacing w:val="0"/>
        <w:jc w:val="center"/>
        <w:rPr>
          <w:rFonts w:asciiTheme="minorHAnsi" w:hAnsiTheme="minorHAnsi" w:cs="Arial"/>
          <w:b/>
        </w:rPr>
      </w:pPr>
      <w:r w:rsidRPr="00137961">
        <w:rPr>
          <w:rFonts w:asciiTheme="minorHAnsi" w:hAnsiTheme="minorHAnsi" w:cs="Tahoma"/>
          <w:b/>
          <w:szCs w:val="20"/>
        </w:rPr>
        <w:t>Cena díl</w:t>
      </w:r>
      <w:r w:rsidRPr="00137961">
        <w:rPr>
          <w:rFonts w:asciiTheme="minorHAnsi" w:hAnsiTheme="minorHAnsi" w:cs="Arial"/>
          <w:b/>
        </w:rPr>
        <w:t>a, platební a fakturační podmínky</w:t>
      </w:r>
    </w:p>
    <w:p w14:paraId="1229443D" w14:textId="77777777" w:rsidR="00137961" w:rsidRPr="003D261E" w:rsidRDefault="00137961" w:rsidP="00137961">
      <w:pPr>
        <w:pStyle w:val="Odstavecseseznamem"/>
        <w:suppressAutoHyphens/>
        <w:ind w:left="360"/>
        <w:contextualSpacing w:val="0"/>
        <w:jc w:val="center"/>
        <w:rPr>
          <w:rFonts w:asciiTheme="minorHAnsi" w:hAnsiTheme="minorHAnsi" w:cs="Arial"/>
          <w:b/>
          <w:u w:val="single"/>
        </w:rPr>
      </w:pPr>
    </w:p>
    <w:p w14:paraId="722E789C" w14:textId="0DFC4AA2" w:rsidR="00831F48" w:rsidRPr="00137961" w:rsidRDefault="00831F48" w:rsidP="00137961">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137961">
        <w:rPr>
          <w:rFonts w:asciiTheme="minorHAnsi" w:hAnsiTheme="minorHAnsi" w:cs="Tahoma"/>
          <w:szCs w:val="20"/>
        </w:rPr>
        <w:t xml:space="preserve">Smluvní strany se dohodly na ceně za dílo, kterou je objednatel povinen zaplatit zhotoviteli za řádně </w:t>
      </w:r>
      <w:r w:rsidR="00137961">
        <w:rPr>
          <w:rFonts w:asciiTheme="minorHAnsi" w:hAnsiTheme="minorHAnsi" w:cs="Tahoma"/>
          <w:szCs w:val="20"/>
        </w:rPr>
        <w:t xml:space="preserve">a včas </w:t>
      </w:r>
      <w:r w:rsidRPr="00137961">
        <w:rPr>
          <w:rFonts w:asciiTheme="minorHAnsi" w:hAnsiTheme="minorHAnsi" w:cs="Tahoma"/>
          <w:szCs w:val="20"/>
        </w:rPr>
        <w:t xml:space="preserve">provedené dílo </w:t>
      </w:r>
      <w:r w:rsidR="00137961">
        <w:rPr>
          <w:rFonts w:asciiTheme="minorHAnsi" w:hAnsiTheme="minorHAnsi" w:cs="Tahoma"/>
          <w:szCs w:val="20"/>
        </w:rPr>
        <w:t>uvedené</w:t>
      </w:r>
      <w:r w:rsidR="003661E3" w:rsidRPr="00137961">
        <w:rPr>
          <w:rFonts w:asciiTheme="minorHAnsi" w:hAnsiTheme="minorHAnsi" w:cs="Tahoma"/>
          <w:szCs w:val="20"/>
        </w:rPr>
        <w:t xml:space="preserve"> v čl. </w:t>
      </w:r>
      <w:r w:rsidR="00137961">
        <w:rPr>
          <w:rFonts w:asciiTheme="minorHAnsi" w:hAnsiTheme="minorHAnsi" w:cs="Tahoma"/>
          <w:szCs w:val="20"/>
        </w:rPr>
        <w:t>I</w:t>
      </w:r>
      <w:r w:rsidR="003661E3" w:rsidRPr="00137961">
        <w:rPr>
          <w:rFonts w:asciiTheme="minorHAnsi" w:hAnsiTheme="minorHAnsi" w:cs="Tahoma"/>
          <w:szCs w:val="20"/>
        </w:rPr>
        <w:t xml:space="preserve">I </w:t>
      </w:r>
      <w:r w:rsidR="00215B83">
        <w:rPr>
          <w:rFonts w:asciiTheme="minorHAnsi" w:hAnsiTheme="minorHAnsi" w:cs="Tahoma"/>
          <w:szCs w:val="20"/>
        </w:rPr>
        <w:t>této smlouvy</w:t>
      </w:r>
      <w:r w:rsidRPr="00137961">
        <w:rPr>
          <w:rFonts w:asciiTheme="minorHAnsi" w:hAnsiTheme="minorHAnsi" w:cs="Tahoma"/>
          <w:szCs w:val="20"/>
        </w:rPr>
        <w:t xml:space="preserve"> </w:t>
      </w:r>
      <w:r w:rsidR="003661E3" w:rsidRPr="00137961">
        <w:rPr>
          <w:rFonts w:asciiTheme="minorHAnsi" w:hAnsiTheme="minorHAnsi" w:cs="Tahoma"/>
          <w:szCs w:val="20"/>
        </w:rPr>
        <w:t>následovně</w:t>
      </w:r>
      <w:r w:rsidRPr="00137961">
        <w:rPr>
          <w:rFonts w:asciiTheme="minorHAnsi" w:hAnsiTheme="minorHAnsi" w:cs="Tahoma"/>
          <w:szCs w:val="20"/>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tbl>
      <w:tblPr>
        <w:tblStyle w:val="Mkatabulky"/>
        <w:tblW w:w="10348" w:type="dxa"/>
        <w:tblInd w:w="-601" w:type="dxa"/>
        <w:tblLook w:val="04A0" w:firstRow="1" w:lastRow="0" w:firstColumn="1" w:lastColumn="0" w:noHBand="0" w:noVBand="1"/>
      </w:tblPr>
      <w:tblGrid>
        <w:gridCol w:w="567"/>
        <w:gridCol w:w="4537"/>
        <w:gridCol w:w="1842"/>
        <w:gridCol w:w="1560"/>
        <w:gridCol w:w="1842"/>
      </w:tblGrid>
      <w:tr w:rsidR="00215B83" w:rsidRPr="00215B83" w14:paraId="55CE2E66" w14:textId="77777777" w:rsidTr="00215B83">
        <w:tc>
          <w:tcPr>
            <w:tcW w:w="5104" w:type="dxa"/>
            <w:gridSpan w:val="2"/>
            <w:shd w:val="clear" w:color="auto" w:fill="F2F2F2" w:themeFill="background1" w:themeFillShade="F2"/>
            <w:vAlign w:val="center"/>
          </w:tcPr>
          <w:p w14:paraId="242A5338" w14:textId="77777777" w:rsidR="00CF0ACA" w:rsidRPr="00215B83" w:rsidRDefault="00CF0ACA" w:rsidP="00215B83">
            <w:pPr>
              <w:widowControl w:val="0"/>
              <w:spacing w:before="0"/>
              <w:jc w:val="center"/>
              <w:rPr>
                <w:rFonts w:asciiTheme="minorHAnsi" w:hAnsiTheme="minorHAnsi" w:cs="Tahoma"/>
                <w:b/>
                <w:sz w:val="20"/>
                <w:szCs w:val="20"/>
              </w:rPr>
            </w:pPr>
            <w:r w:rsidRPr="00215B83">
              <w:rPr>
                <w:rFonts w:asciiTheme="minorHAnsi" w:hAnsiTheme="minorHAnsi" w:cs="Tahoma"/>
                <w:b/>
                <w:sz w:val="20"/>
                <w:szCs w:val="20"/>
              </w:rPr>
              <w:t>Položka</w:t>
            </w:r>
          </w:p>
        </w:tc>
        <w:tc>
          <w:tcPr>
            <w:tcW w:w="1842" w:type="dxa"/>
            <w:shd w:val="clear" w:color="auto" w:fill="F2F2F2" w:themeFill="background1" w:themeFillShade="F2"/>
            <w:vAlign w:val="center"/>
          </w:tcPr>
          <w:p w14:paraId="06C7427F" w14:textId="77777777" w:rsidR="00CF0ACA" w:rsidRPr="00215B83" w:rsidRDefault="00CF0ACA" w:rsidP="00215B83">
            <w:pPr>
              <w:widowControl w:val="0"/>
              <w:spacing w:before="0"/>
              <w:jc w:val="center"/>
              <w:rPr>
                <w:rFonts w:asciiTheme="minorHAnsi" w:hAnsiTheme="minorHAnsi" w:cs="Tahoma"/>
                <w:b/>
                <w:sz w:val="20"/>
                <w:szCs w:val="20"/>
              </w:rPr>
            </w:pPr>
            <w:r w:rsidRPr="00215B83">
              <w:rPr>
                <w:rFonts w:asciiTheme="minorHAnsi" w:hAnsiTheme="minorHAnsi" w:cs="Tahoma"/>
                <w:b/>
                <w:sz w:val="20"/>
                <w:szCs w:val="20"/>
              </w:rPr>
              <w:t>Cena v Kč bez DPH</w:t>
            </w:r>
          </w:p>
        </w:tc>
        <w:tc>
          <w:tcPr>
            <w:tcW w:w="1560" w:type="dxa"/>
            <w:shd w:val="clear" w:color="auto" w:fill="F2F2F2" w:themeFill="background1" w:themeFillShade="F2"/>
            <w:vAlign w:val="center"/>
          </w:tcPr>
          <w:p w14:paraId="18C96671" w14:textId="7FEF5D04" w:rsidR="00CF0ACA" w:rsidRPr="00215B83" w:rsidRDefault="00CF0ACA" w:rsidP="00215B83">
            <w:pPr>
              <w:widowControl w:val="0"/>
              <w:spacing w:before="0"/>
              <w:jc w:val="center"/>
              <w:rPr>
                <w:rFonts w:asciiTheme="minorHAnsi" w:hAnsiTheme="minorHAnsi" w:cs="Tahoma"/>
                <w:b/>
                <w:sz w:val="20"/>
                <w:szCs w:val="20"/>
              </w:rPr>
            </w:pPr>
            <w:r w:rsidRPr="00215B83">
              <w:rPr>
                <w:rFonts w:asciiTheme="minorHAnsi" w:hAnsiTheme="minorHAnsi" w:cs="Tahoma"/>
                <w:b/>
                <w:sz w:val="20"/>
                <w:szCs w:val="20"/>
              </w:rPr>
              <w:t>DPH v Kč</w:t>
            </w:r>
          </w:p>
        </w:tc>
        <w:tc>
          <w:tcPr>
            <w:tcW w:w="1842" w:type="dxa"/>
            <w:shd w:val="clear" w:color="auto" w:fill="F2F2F2" w:themeFill="background1" w:themeFillShade="F2"/>
          </w:tcPr>
          <w:p w14:paraId="254EA9A0" w14:textId="06CE60B6" w:rsidR="00CF0ACA" w:rsidRPr="00215B83" w:rsidRDefault="00CF0ACA" w:rsidP="00215B83">
            <w:pPr>
              <w:widowControl w:val="0"/>
              <w:spacing w:before="0"/>
              <w:jc w:val="center"/>
              <w:rPr>
                <w:rFonts w:asciiTheme="minorHAnsi" w:hAnsiTheme="minorHAnsi" w:cs="Tahoma"/>
                <w:b/>
                <w:sz w:val="20"/>
                <w:szCs w:val="20"/>
              </w:rPr>
            </w:pPr>
            <w:r w:rsidRPr="00215B83">
              <w:rPr>
                <w:rFonts w:asciiTheme="minorHAnsi" w:hAnsiTheme="minorHAnsi" w:cs="Tahoma"/>
                <w:b/>
                <w:sz w:val="20"/>
                <w:szCs w:val="20"/>
              </w:rPr>
              <w:t>Cena v Kč včetně DPH</w:t>
            </w:r>
          </w:p>
        </w:tc>
      </w:tr>
      <w:tr w:rsidR="00215B83" w:rsidRPr="00215B83" w14:paraId="4DAB3BDD" w14:textId="77777777" w:rsidTr="00215B83">
        <w:trPr>
          <w:trHeight w:val="737"/>
        </w:trPr>
        <w:tc>
          <w:tcPr>
            <w:tcW w:w="567" w:type="dxa"/>
            <w:vAlign w:val="center"/>
          </w:tcPr>
          <w:p w14:paraId="61D6DFA3" w14:textId="77777777" w:rsidR="00215B83" w:rsidRPr="00215B83" w:rsidRDefault="00215B83" w:rsidP="00215B83">
            <w:pPr>
              <w:spacing w:before="0"/>
              <w:jc w:val="center"/>
              <w:rPr>
                <w:rFonts w:asciiTheme="minorHAnsi" w:hAnsiTheme="minorHAnsi" w:cs="Tahoma"/>
                <w:sz w:val="20"/>
                <w:szCs w:val="20"/>
              </w:rPr>
            </w:pPr>
            <w:r w:rsidRPr="00215B83">
              <w:rPr>
                <w:rFonts w:asciiTheme="minorHAnsi" w:hAnsiTheme="minorHAnsi" w:cs="Tahoma"/>
                <w:sz w:val="20"/>
                <w:szCs w:val="20"/>
              </w:rPr>
              <w:t>1.</w:t>
            </w:r>
          </w:p>
        </w:tc>
        <w:tc>
          <w:tcPr>
            <w:tcW w:w="4537" w:type="dxa"/>
            <w:vAlign w:val="center"/>
          </w:tcPr>
          <w:p w14:paraId="0B4E4F3A" w14:textId="6F6DEB17" w:rsidR="00215B83" w:rsidRPr="00215B83" w:rsidRDefault="00215B83" w:rsidP="00215B83">
            <w:pPr>
              <w:widowControl w:val="0"/>
              <w:spacing w:before="0"/>
              <w:jc w:val="left"/>
              <w:rPr>
                <w:rFonts w:asciiTheme="minorHAnsi" w:hAnsiTheme="minorHAnsi" w:cs="Tahoma"/>
                <w:b/>
                <w:sz w:val="20"/>
                <w:szCs w:val="20"/>
              </w:rPr>
            </w:pPr>
            <w:r w:rsidRPr="00215B83">
              <w:rPr>
                <w:rFonts w:asciiTheme="minorHAnsi" w:hAnsiTheme="minorHAnsi"/>
                <w:sz w:val="20"/>
                <w:szCs w:val="20"/>
              </w:rPr>
              <w:t>Přípravné práce dle čl. II odst.  2.2 bod 2.2.1</w:t>
            </w:r>
            <w:r>
              <w:rPr>
                <w:rFonts w:asciiTheme="minorHAnsi" w:hAnsiTheme="minorHAnsi"/>
                <w:sz w:val="20"/>
                <w:szCs w:val="20"/>
              </w:rPr>
              <w:t>této smlouvy</w:t>
            </w:r>
            <w:r w:rsidRPr="00215B83">
              <w:rPr>
                <w:rFonts w:asciiTheme="minorHAnsi" w:hAnsiTheme="minorHAnsi"/>
                <w:sz w:val="20"/>
                <w:szCs w:val="20"/>
              </w:rPr>
              <w:t>:</w:t>
            </w:r>
          </w:p>
        </w:tc>
        <w:tc>
          <w:tcPr>
            <w:tcW w:w="1842" w:type="dxa"/>
            <w:vAlign w:val="center"/>
          </w:tcPr>
          <w:p w14:paraId="564223D5" w14:textId="7D923998"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560" w:type="dxa"/>
            <w:vAlign w:val="center"/>
          </w:tcPr>
          <w:p w14:paraId="1CD88BC7" w14:textId="7A347AF9"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842" w:type="dxa"/>
            <w:vAlign w:val="center"/>
          </w:tcPr>
          <w:p w14:paraId="42659252" w14:textId="4A5EABCD"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r>
      <w:tr w:rsidR="00215B83" w:rsidRPr="00215B83" w14:paraId="1AAB1748" w14:textId="77777777" w:rsidTr="00215B83">
        <w:trPr>
          <w:trHeight w:val="737"/>
        </w:trPr>
        <w:tc>
          <w:tcPr>
            <w:tcW w:w="567" w:type="dxa"/>
            <w:vAlign w:val="center"/>
          </w:tcPr>
          <w:p w14:paraId="3D247297" w14:textId="77777777"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rPr>
              <w:t>2.</w:t>
            </w:r>
          </w:p>
        </w:tc>
        <w:tc>
          <w:tcPr>
            <w:tcW w:w="4537" w:type="dxa"/>
            <w:vAlign w:val="center"/>
          </w:tcPr>
          <w:p w14:paraId="3A4CD483" w14:textId="07ED6EB4" w:rsidR="00215B83" w:rsidRPr="00215B83" w:rsidRDefault="00215B83" w:rsidP="00215B83">
            <w:pPr>
              <w:widowControl w:val="0"/>
              <w:spacing w:before="0"/>
              <w:jc w:val="left"/>
              <w:rPr>
                <w:rFonts w:asciiTheme="minorHAnsi" w:hAnsiTheme="minorHAnsi" w:cs="Tahoma"/>
                <w:b/>
                <w:sz w:val="20"/>
                <w:szCs w:val="20"/>
              </w:rPr>
            </w:pPr>
            <w:r w:rsidRPr="00215B83">
              <w:rPr>
                <w:rFonts w:asciiTheme="minorHAnsi" w:hAnsiTheme="minorHAnsi" w:cs="Arial"/>
                <w:sz w:val="20"/>
                <w:szCs w:val="20"/>
              </w:rPr>
              <w:t>Projektová dokumentace pro společné povolení</w:t>
            </w:r>
            <w:r w:rsidRPr="00215B83">
              <w:rPr>
                <w:rFonts w:asciiTheme="minorHAnsi" w:hAnsiTheme="minorHAnsi"/>
                <w:sz w:val="20"/>
                <w:szCs w:val="20"/>
              </w:rPr>
              <w:t xml:space="preserve"> dle čl. II odst.  2.2 bod 2.2.2 </w:t>
            </w:r>
            <w:r>
              <w:rPr>
                <w:rFonts w:asciiTheme="minorHAnsi" w:hAnsiTheme="minorHAnsi"/>
                <w:sz w:val="20"/>
                <w:szCs w:val="20"/>
              </w:rPr>
              <w:t>této smlouvy</w:t>
            </w:r>
            <w:r w:rsidRPr="00215B83">
              <w:rPr>
                <w:rFonts w:asciiTheme="minorHAnsi" w:hAnsiTheme="minorHAnsi"/>
                <w:sz w:val="20"/>
                <w:szCs w:val="20"/>
              </w:rPr>
              <w:t>:</w:t>
            </w:r>
          </w:p>
        </w:tc>
        <w:tc>
          <w:tcPr>
            <w:tcW w:w="1842" w:type="dxa"/>
            <w:vAlign w:val="center"/>
          </w:tcPr>
          <w:p w14:paraId="30816E46" w14:textId="33DCA8DA"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560" w:type="dxa"/>
            <w:vAlign w:val="center"/>
          </w:tcPr>
          <w:p w14:paraId="02833C4E" w14:textId="3346828C"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842" w:type="dxa"/>
            <w:vAlign w:val="center"/>
          </w:tcPr>
          <w:p w14:paraId="70702E3F" w14:textId="330AF60C"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r>
      <w:tr w:rsidR="00215B83" w:rsidRPr="00215B83" w14:paraId="43157B60" w14:textId="77777777" w:rsidTr="00215B83">
        <w:trPr>
          <w:trHeight w:val="737"/>
        </w:trPr>
        <w:tc>
          <w:tcPr>
            <w:tcW w:w="567" w:type="dxa"/>
            <w:vAlign w:val="center"/>
          </w:tcPr>
          <w:p w14:paraId="785200DF" w14:textId="2A2ADDC7"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rPr>
              <w:t>3</w:t>
            </w:r>
          </w:p>
        </w:tc>
        <w:tc>
          <w:tcPr>
            <w:tcW w:w="4537" w:type="dxa"/>
            <w:vAlign w:val="center"/>
          </w:tcPr>
          <w:p w14:paraId="7CF855DC" w14:textId="1E2684B7" w:rsidR="00215B83" w:rsidRPr="00215B83" w:rsidRDefault="00215B83" w:rsidP="00215B83">
            <w:pPr>
              <w:widowControl w:val="0"/>
              <w:spacing w:before="0"/>
              <w:rPr>
                <w:rFonts w:asciiTheme="minorHAnsi" w:hAnsiTheme="minorHAnsi" w:cs="Arial"/>
                <w:sz w:val="20"/>
                <w:szCs w:val="20"/>
              </w:rPr>
            </w:pPr>
            <w:r w:rsidRPr="00215B83">
              <w:rPr>
                <w:rFonts w:asciiTheme="minorHAnsi" w:hAnsiTheme="minorHAnsi" w:cs="Arial"/>
                <w:sz w:val="20"/>
                <w:szCs w:val="20"/>
              </w:rPr>
              <w:t>Projektová dokumentace pro výběr zhotovitele stavby</w:t>
            </w:r>
            <w:r w:rsidRPr="00215B83">
              <w:rPr>
                <w:rFonts w:asciiTheme="minorHAnsi" w:hAnsiTheme="minorHAnsi"/>
                <w:sz w:val="20"/>
                <w:szCs w:val="20"/>
              </w:rPr>
              <w:t xml:space="preserve"> dle čl. II odst.  2.2 bod 2.2.3 </w:t>
            </w:r>
            <w:r>
              <w:rPr>
                <w:rFonts w:asciiTheme="minorHAnsi" w:hAnsiTheme="minorHAnsi"/>
                <w:sz w:val="20"/>
                <w:szCs w:val="20"/>
              </w:rPr>
              <w:t>této smlouvy</w:t>
            </w:r>
            <w:r w:rsidRPr="00215B83">
              <w:rPr>
                <w:rFonts w:asciiTheme="minorHAnsi" w:hAnsiTheme="minorHAnsi"/>
                <w:sz w:val="20"/>
                <w:szCs w:val="20"/>
              </w:rPr>
              <w:t>:</w:t>
            </w:r>
          </w:p>
        </w:tc>
        <w:tc>
          <w:tcPr>
            <w:tcW w:w="1842" w:type="dxa"/>
            <w:vAlign w:val="center"/>
          </w:tcPr>
          <w:p w14:paraId="5E02CA70" w14:textId="4B498003"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560" w:type="dxa"/>
            <w:vAlign w:val="center"/>
          </w:tcPr>
          <w:p w14:paraId="2C1D0BB9" w14:textId="5DC0C50F"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c>
          <w:tcPr>
            <w:tcW w:w="1842" w:type="dxa"/>
            <w:vAlign w:val="center"/>
          </w:tcPr>
          <w:p w14:paraId="7157744C" w14:textId="4754C5B6" w:rsidR="00215B83" w:rsidRPr="00215B83" w:rsidRDefault="00215B83" w:rsidP="00215B83">
            <w:pPr>
              <w:widowControl w:val="0"/>
              <w:spacing w:before="0"/>
              <w:jc w:val="center"/>
              <w:rPr>
                <w:rFonts w:asciiTheme="minorHAnsi" w:hAnsiTheme="minorHAnsi" w:cs="Tahoma"/>
                <w:sz w:val="20"/>
                <w:szCs w:val="20"/>
              </w:rPr>
            </w:pPr>
            <w:r w:rsidRPr="00215B83">
              <w:rPr>
                <w:rFonts w:asciiTheme="minorHAnsi" w:hAnsiTheme="minorHAnsi" w:cs="Tahoma"/>
                <w:sz w:val="20"/>
                <w:szCs w:val="20"/>
                <w:highlight w:val="yellow"/>
              </w:rPr>
              <w:t>[doplní účastník řízení]</w:t>
            </w:r>
          </w:p>
        </w:tc>
      </w:tr>
      <w:tr w:rsidR="00215B83" w:rsidRPr="00215B83" w14:paraId="63A58C70" w14:textId="77777777" w:rsidTr="00215B83">
        <w:trPr>
          <w:trHeight w:val="737"/>
        </w:trPr>
        <w:tc>
          <w:tcPr>
            <w:tcW w:w="5104" w:type="dxa"/>
            <w:gridSpan w:val="2"/>
            <w:vAlign w:val="center"/>
          </w:tcPr>
          <w:p w14:paraId="118BB315" w14:textId="14FBCC43" w:rsidR="00215B83" w:rsidRPr="00215B83" w:rsidRDefault="00215B83" w:rsidP="00215B83">
            <w:pPr>
              <w:widowControl w:val="0"/>
              <w:spacing w:before="0"/>
              <w:rPr>
                <w:rFonts w:asciiTheme="minorHAnsi" w:hAnsiTheme="minorHAnsi" w:cs="Arial"/>
                <w:b/>
                <w:sz w:val="20"/>
                <w:szCs w:val="20"/>
              </w:rPr>
            </w:pPr>
            <w:r w:rsidRPr="00215B83">
              <w:rPr>
                <w:rFonts w:asciiTheme="minorHAnsi" w:hAnsiTheme="minorHAnsi" w:cs="Arial"/>
                <w:b/>
                <w:sz w:val="20"/>
                <w:szCs w:val="20"/>
              </w:rPr>
              <w:t>Celková cena díla</w:t>
            </w:r>
          </w:p>
        </w:tc>
        <w:tc>
          <w:tcPr>
            <w:tcW w:w="1842" w:type="dxa"/>
            <w:vAlign w:val="center"/>
          </w:tcPr>
          <w:p w14:paraId="3761E32D" w14:textId="0479BF90" w:rsidR="00215B83" w:rsidRPr="00215B83" w:rsidRDefault="00215B83" w:rsidP="00215B83">
            <w:pPr>
              <w:widowControl w:val="0"/>
              <w:spacing w:before="0"/>
              <w:jc w:val="center"/>
              <w:rPr>
                <w:rFonts w:asciiTheme="minorHAnsi" w:hAnsiTheme="minorHAnsi" w:cs="Tahoma"/>
                <w:b/>
                <w:sz w:val="20"/>
                <w:szCs w:val="20"/>
                <w:highlight w:val="yellow"/>
              </w:rPr>
            </w:pPr>
            <w:r w:rsidRPr="00215B83">
              <w:rPr>
                <w:rFonts w:asciiTheme="minorHAnsi" w:hAnsiTheme="minorHAnsi" w:cs="Tahoma"/>
                <w:b/>
                <w:sz w:val="20"/>
                <w:szCs w:val="20"/>
                <w:highlight w:val="yellow"/>
              </w:rPr>
              <w:t>[doplní účastník řízení]</w:t>
            </w:r>
          </w:p>
        </w:tc>
        <w:tc>
          <w:tcPr>
            <w:tcW w:w="1560" w:type="dxa"/>
            <w:vAlign w:val="center"/>
          </w:tcPr>
          <w:p w14:paraId="4155182E" w14:textId="4DB6A41E" w:rsidR="00215B83" w:rsidRPr="00215B83" w:rsidRDefault="00215B83" w:rsidP="00215B83">
            <w:pPr>
              <w:widowControl w:val="0"/>
              <w:spacing w:before="0"/>
              <w:jc w:val="center"/>
              <w:rPr>
                <w:rFonts w:asciiTheme="minorHAnsi" w:hAnsiTheme="minorHAnsi" w:cs="Tahoma"/>
                <w:b/>
                <w:sz w:val="20"/>
                <w:szCs w:val="20"/>
                <w:highlight w:val="yellow"/>
              </w:rPr>
            </w:pPr>
            <w:r w:rsidRPr="00215B83">
              <w:rPr>
                <w:rFonts w:asciiTheme="minorHAnsi" w:hAnsiTheme="minorHAnsi" w:cs="Tahoma"/>
                <w:b/>
                <w:sz w:val="20"/>
                <w:szCs w:val="20"/>
                <w:highlight w:val="yellow"/>
              </w:rPr>
              <w:t>[doplní účastník řízení]</w:t>
            </w:r>
          </w:p>
        </w:tc>
        <w:tc>
          <w:tcPr>
            <w:tcW w:w="1842" w:type="dxa"/>
            <w:vAlign w:val="center"/>
          </w:tcPr>
          <w:p w14:paraId="788D6696" w14:textId="72C30490" w:rsidR="00215B83" w:rsidRPr="00215B83" w:rsidRDefault="00215B83" w:rsidP="00215B83">
            <w:pPr>
              <w:widowControl w:val="0"/>
              <w:spacing w:before="0"/>
              <w:jc w:val="center"/>
              <w:rPr>
                <w:rFonts w:asciiTheme="minorHAnsi" w:hAnsiTheme="minorHAnsi" w:cs="Tahoma"/>
                <w:b/>
                <w:sz w:val="20"/>
                <w:szCs w:val="20"/>
                <w:highlight w:val="yellow"/>
              </w:rPr>
            </w:pPr>
            <w:r w:rsidRPr="00215B83">
              <w:rPr>
                <w:rFonts w:asciiTheme="minorHAnsi" w:hAnsiTheme="minorHAnsi" w:cs="Tahoma"/>
                <w:b/>
                <w:sz w:val="20"/>
                <w:szCs w:val="20"/>
                <w:highlight w:val="yellow"/>
              </w:rPr>
              <w:t>[doplní účastník řízení]</w:t>
            </w:r>
          </w:p>
        </w:tc>
      </w:tr>
    </w:tbl>
    <w:p w14:paraId="266F1101" w14:textId="77777777" w:rsidR="00C10C3B" w:rsidRDefault="00C10C3B" w:rsidP="00025B8C">
      <w:pPr>
        <w:ind w:right="-2"/>
        <w:jc w:val="both"/>
        <w:rPr>
          <w:rFonts w:asciiTheme="minorHAnsi" w:hAnsiTheme="minorHAnsi" w:cs="Arial"/>
          <w:color w:val="000000"/>
          <w:sz w:val="22"/>
          <w:szCs w:val="22"/>
        </w:rPr>
      </w:pPr>
    </w:p>
    <w:p w14:paraId="76CE0934" w14:textId="654E9892" w:rsidR="000E48B5" w:rsidRPr="00215B83" w:rsidRDefault="000E48B5" w:rsidP="00215B83">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B83">
        <w:rPr>
          <w:rFonts w:asciiTheme="minorHAnsi" w:hAnsiTheme="minorHAnsi" w:cs="Tahoma"/>
          <w:szCs w:val="20"/>
        </w:rPr>
        <w:t xml:space="preserve">Objednatel se zavazuje uhradit zhotoviteli cenu díla uvedenou </w:t>
      </w:r>
      <w:r w:rsidR="00215B83">
        <w:rPr>
          <w:rFonts w:asciiTheme="minorHAnsi" w:hAnsiTheme="minorHAnsi" w:cs="Tahoma"/>
          <w:szCs w:val="20"/>
        </w:rPr>
        <w:t>v odst. 3.1</w:t>
      </w:r>
      <w:r w:rsidR="007F2020" w:rsidRPr="00215B83">
        <w:rPr>
          <w:rFonts w:asciiTheme="minorHAnsi" w:hAnsiTheme="minorHAnsi" w:cs="Tahoma"/>
          <w:szCs w:val="20"/>
        </w:rPr>
        <w:t xml:space="preserve"> </w:t>
      </w:r>
      <w:r w:rsidR="00215B83">
        <w:rPr>
          <w:rFonts w:asciiTheme="minorHAnsi" w:hAnsiTheme="minorHAnsi" w:cs="Tahoma"/>
          <w:szCs w:val="20"/>
        </w:rPr>
        <w:t>tohoto článku</w:t>
      </w:r>
      <w:r w:rsidR="008F5268" w:rsidRPr="00215B83">
        <w:rPr>
          <w:rFonts w:asciiTheme="minorHAnsi" w:hAnsiTheme="minorHAnsi" w:cs="Tahoma"/>
          <w:szCs w:val="20"/>
        </w:rPr>
        <w:t xml:space="preserve"> </w:t>
      </w:r>
      <w:r w:rsidRPr="00215B83">
        <w:rPr>
          <w:rFonts w:asciiTheme="minorHAnsi" w:hAnsiTheme="minorHAnsi" w:cs="Tahoma"/>
          <w:szCs w:val="20"/>
        </w:rPr>
        <w:t>na základě jeho faktur</w:t>
      </w:r>
      <w:r w:rsidR="00951B8E" w:rsidRPr="00215B83">
        <w:rPr>
          <w:rFonts w:asciiTheme="minorHAnsi" w:hAnsiTheme="minorHAnsi" w:cs="Tahoma"/>
          <w:szCs w:val="20"/>
        </w:rPr>
        <w:t xml:space="preserve"> za každou jednotlivou ukončenou položk</w:t>
      </w:r>
      <w:r w:rsidR="002818C9" w:rsidRPr="00215B83">
        <w:rPr>
          <w:rFonts w:asciiTheme="minorHAnsi" w:hAnsiTheme="minorHAnsi" w:cs="Tahoma"/>
          <w:szCs w:val="20"/>
        </w:rPr>
        <w:t>u</w:t>
      </w:r>
      <w:r w:rsidRPr="00215B83">
        <w:rPr>
          <w:rFonts w:asciiTheme="minorHAnsi" w:hAnsiTheme="minorHAnsi" w:cs="Tahoma"/>
          <w:szCs w:val="20"/>
        </w:rPr>
        <w:t xml:space="preserve"> a na základě předávacích protokolů v souladu s dalšími podmínkami uvedenými v této smlouvě. </w:t>
      </w:r>
    </w:p>
    <w:p w14:paraId="226F62F3" w14:textId="2BE12BE5" w:rsidR="000E48B5" w:rsidRPr="00215B83" w:rsidRDefault="000E48B5" w:rsidP="00215B83">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B83">
        <w:rPr>
          <w:rFonts w:asciiTheme="minorHAnsi" w:hAnsiTheme="minorHAnsi" w:cs="Tahoma"/>
          <w:szCs w:val="20"/>
        </w:rPr>
        <w:t xml:space="preserve">Právo zhotovitele na fakturaci, včetně fakturace DPH, vzniká dnem podepsání protokolu o předání a převzetí </w:t>
      </w:r>
      <w:r w:rsidR="004E3B56" w:rsidRPr="00215B83">
        <w:rPr>
          <w:rFonts w:asciiTheme="minorHAnsi" w:hAnsiTheme="minorHAnsi" w:cs="Tahoma"/>
          <w:szCs w:val="20"/>
        </w:rPr>
        <w:t xml:space="preserve">příslušné části </w:t>
      </w:r>
      <w:r w:rsidRPr="00215B83">
        <w:rPr>
          <w:rFonts w:asciiTheme="minorHAnsi" w:hAnsiTheme="minorHAnsi" w:cs="Tahoma"/>
          <w:szCs w:val="20"/>
        </w:rPr>
        <w:t>předmětu díla oběma smluvními stranami. Kopie uvedeného protokolu bude přílohou faktury.</w:t>
      </w:r>
    </w:p>
    <w:p w14:paraId="664E2494" w14:textId="4A79AADE" w:rsidR="000E48B5" w:rsidRPr="00215B83" w:rsidRDefault="000E48B5" w:rsidP="00215B83">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B83">
        <w:rPr>
          <w:rFonts w:asciiTheme="minorHAnsi" w:hAnsiTheme="minorHAnsi" w:cs="Tahoma"/>
          <w:szCs w:val="20"/>
        </w:rPr>
        <w:t xml:space="preserve">Faktura </w:t>
      </w:r>
      <w:r w:rsidR="00215B83">
        <w:rPr>
          <w:rFonts w:asciiTheme="minorHAnsi" w:hAnsiTheme="minorHAnsi" w:cs="Tahoma"/>
          <w:szCs w:val="20"/>
        </w:rPr>
        <w:t xml:space="preserve">bude adresována na adresu sídla objednatele uvedenou v čl. I  této smlouvy a </w:t>
      </w:r>
      <w:r w:rsidRPr="00215B83">
        <w:rPr>
          <w:rFonts w:asciiTheme="minorHAnsi" w:hAnsiTheme="minorHAnsi" w:cs="Tahoma"/>
          <w:szCs w:val="20"/>
        </w:rPr>
        <w:t>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0D0BF5FF" w14:textId="77EC6A2C" w:rsidR="000E48B5" w:rsidRPr="00215B83" w:rsidRDefault="000E48B5" w:rsidP="00215B83">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B83">
        <w:rPr>
          <w:rFonts w:asciiTheme="minorHAnsi" w:hAnsiTheme="minorHAnsi" w:cs="Tahoma"/>
          <w:szCs w:val="20"/>
        </w:rPr>
        <w:t xml:space="preserve">Faktury jsou splatné do 30 kalendářních dnů ode dne prokazatelného doručení faktury objednateli. </w:t>
      </w:r>
    </w:p>
    <w:p w14:paraId="6A17779E" w14:textId="5A5F28F6" w:rsidR="000E48B5" w:rsidRPr="00215B83" w:rsidRDefault="000E48B5" w:rsidP="00215B83">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B83">
        <w:rPr>
          <w:rFonts w:asciiTheme="minorHAnsi" w:hAnsiTheme="minorHAnsi" w:cs="Tahoma"/>
          <w:szCs w:val="20"/>
        </w:rPr>
        <w:lastRenderedPageBreak/>
        <w:t xml:space="preserve">Úhradou se rozumí odepsání fakturované částky z účtu objednatele. </w:t>
      </w:r>
    </w:p>
    <w:p w14:paraId="42A7568F" w14:textId="77777777" w:rsidR="000E48B5" w:rsidRDefault="000E48B5" w:rsidP="000E48B5">
      <w:pPr>
        <w:tabs>
          <w:tab w:val="left" w:pos="709"/>
        </w:tabs>
        <w:jc w:val="both"/>
        <w:rPr>
          <w:rFonts w:asciiTheme="minorHAnsi" w:hAnsiTheme="minorHAnsi"/>
          <w:szCs w:val="20"/>
        </w:rPr>
      </w:pPr>
    </w:p>
    <w:p w14:paraId="28B07621" w14:textId="50A29E1B" w:rsidR="000E48B5" w:rsidRPr="003D261E" w:rsidRDefault="000E48B5" w:rsidP="00215B83">
      <w:pPr>
        <w:pStyle w:val="Odstavecseseznamem"/>
        <w:numPr>
          <w:ilvl w:val="0"/>
          <w:numId w:val="68"/>
        </w:numPr>
        <w:suppressAutoHyphens/>
        <w:contextualSpacing w:val="0"/>
        <w:jc w:val="center"/>
        <w:rPr>
          <w:rFonts w:asciiTheme="minorHAnsi" w:hAnsiTheme="minorHAnsi"/>
          <w:b/>
        </w:rPr>
      </w:pPr>
    </w:p>
    <w:p w14:paraId="14B0A316" w14:textId="77777777" w:rsidR="000E48B5" w:rsidRDefault="000E48B5" w:rsidP="00885726">
      <w:pPr>
        <w:pStyle w:val="Odstavecseseznamem"/>
        <w:suppressAutoHyphens/>
        <w:ind w:left="0"/>
        <w:contextualSpacing w:val="0"/>
        <w:jc w:val="center"/>
        <w:rPr>
          <w:rFonts w:asciiTheme="minorHAnsi" w:hAnsiTheme="minorHAnsi" w:cs="Tahoma"/>
          <w:b/>
          <w:szCs w:val="20"/>
        </w:rPr>
      </w:pPr>
      <w:r w:rsidRPr="00885726">
        <w:rPr>
          <w:rFonts w:asciiTheme="minorHAnsi" w:hAnsiTheme="minorHAnsi" w:cs="Tahoma"/>
          <w:b/>
          <w:szCs w:val="20"/>
        </w:rPr>
        <w:t>Termín plnění</w:t>
      </w:r>
    </w:p>
    <w:p w14:paraId="2518FCBC" w14:textId="77777777" w:rsidR="00885726" w:rsidRPr="00885726" w:rsidRDefault="00885726" w:rsidP="00885726">
      <w:pPr>
        <w:pStyle w:val="Odstavecseseznamem"/>
        <w:suppressAutoHyphens/>
        <w:ind w:left="0"/>
        <w:contextualSpacing w:val="0"/>
        <w:jc w:val="center"/>
        <w:rPr>
          <w:rFonts w:asciiTheme="minorHAnsi" w:hAnsiTheme="minorHAnsi" w:cs="Tahoma"/>
          <w:b/>
          <w:szCs w:val="20"/>
        </w:rPr>
      </w:pPr>
    </w:p>
    <w:p w14:paraId="34B3BB35" w14:textId="2709EF16" w:rsidR="00FE4623"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Zhotovitel se zavazuje řádně dokončené dílo dle čl. </w:t>
      </w:r>
      <w:proofErr w:type="spellStart"/>
      <w:r w:rsidRPr="00885726">
        <w:rPr>
          <w:rFonts w:asciiTheme="minorHAnsi" w:hAnsiTheme="minorHAnsi" w:cs="Tahoma"/>
          <w:szCs w:val="20"/>
        </w:rPr>
        <w:t>I</w:t>
      </w:r>
      <w:r w:rsidR="00885726">
        <w:rPr>
          <w:rFonts w:asciiTheme="minorHAnsi" w:hAnsiTheme="minorHAnsi" w:cs="Tahoma"/>
          <w:szCs w:val="20"/>
        </w:rPr>
        <w:t>i</w:t>
      </w:r>
      <w:proofErr w:type="spellEnd"/>
      <w:r w:rsidRPr="00885726">
        <w:rPr>
          <w:rFonts w:asciiTheme="minorHAnsi" w:hAnsiTheme="minorHAnsi" w:cs="Tahoma"/>
          <w:szCs w:val="20"/>
        </w:rPr>
        <w:t xml:space="preserve">. této smlouvy předat objednateli </w:t>
      </w:r>
      <w:r w:rsidR="00B23D6A" w:rsidRPr="00885726">
        <w:rPr>
          <w:rFonts w:asciiTheme="minorHAnsi" w:hAnsiTheme="minorHAnsi" w:cs="Tahoma"/>
          <w:szCs w:val="20"/>
        </w:rPr>
        <w:t>následovně:</w:t>
      </w:r>
    </w:p>
    <w:p w14:paraId="7F160799" w14:textId="77777777" w:rsidR="00B23D6A" w:rsidRPr="00E958F3" w:rsidRDefault="00B23D6A" w:rsidP="000E48B5">
      <w:pPr>
        <w:jc w:val="both"/>
        <w:rPr>
          <w:rFonts w:asciiTheme="minorHAnsi" w:hAnsiTheme="minorHAnsi"/>
          <w:sz w:val="22"/>
          <w:szCs w:val="22"/>
        </w:rPr>
      </w:pPr>
    </w:p>
    <w:tbl>
      <w:tblPr>
        <w:tblStyle w:val="Mkatabulky"/>
        <w:tblW w:w="9923" w:type="dxa"/>
        <w:tblInd w:w="137" w:type="dxa"/>
        <w:tblLook w:val="04A0" w:firstRow="1" w:lastRow="0" w:firstColumn="1" w:lastColumn="0" w:noHBand="0" w:noVBand="1"/>
      </w:tblPr>
      <w:tblGrid>
        <w:gridCol w:w="4366"/>
        <w:gridCol w:w="5557"/>
      </w:tblGrid>
      <w:tr w:rsidR="000D7CC5" w:rsidRPr="00885726" w14:paraId="6261D7BA" w14:textId="77777777" w:rsidTr="00885726">
        <w:trPr>
          <w:trHeight w:val="547"/>
          <w:tblHeader/>
        </w:trPr>
        <w:tc>
          <w:tcPr>
            <w:tcW w:w="4366" w:type="dxa"/>
            <w:shd w:val="clear" w:color="auto" w:fill="F2F2F2" w:themeFill="background1" w:themeFillShade="F2"/>
            <w:vAlign w:val="center"/>
          </w:tcPr>
          <w:p w14:paraId="7688DABE" w14:textId="77777777" w:rsidR="000D7CC5" w:rsidRPr="00885726" w:rsidRDefault="000D7CC5" w:rsidP="00885726">
            <w:pPr>
              <w:pStyle w:val="Odstavecseseznamem"/>
              <w:spacing w:before="0"/>
              <w:ind w:left="0"/>
              <w:contextualSpacing w:val="0"/>
              <w:jc w:val="left"/>
              <w:rPr>
                <w:rFonts w:asciiTheme="minorHAnsi" w:hAnsiTheme="minorHAnsi" w:cs="Arial"/>
                <w:b/>
                <w:szCs w:val="20"/>
              </w:rPr>
            </w:pPr>
            <w:r w:rsidRPr="00885726">
              <w:rPr>
                <w:rFonts w:asciiTheme="minorHAnsi" w:hAnsiTheme="minorHAnsi" w:cs="Arial"/>
                <w:b/>
                <w:szCs w:val="20"/>
              </w:rPr>
              <w:t>Položka</w:t>
            </w:r>
          </w:p>
        </w:tc>
        <w:tc>
          <w:tcPr>
            <w:tcW w:w="5557" w:type="dxa"/>
            <w:shd w:val="clear" w:color="auto" w:fill="F2F2F2" w:themeFill="background1" w:themeFillShade="F2"/>
            <w:vAlign w:val="center"/>
          </w:tcPr>
          <w:p w14:paraId="7B3CB111" w14:textId="77777777" w:rsidR="000D7CC5" w:rsidRPr="00885726" w:rsidRDefault="000D7CC5" w:rsidP="00885726">
            <w:pPr>
              <w:pStyle w:val="Odstavecseseznamem"/>
              <w:spacing w:before="0"/>
              <w:ind w:left="0"/>
              <w:contextualSpacing w:val="0"/>
              <w:jc w:val="left"/>
              <w:rPr>
                <w:rFonts w:asciiTheme="minorHAnsi" w:hAnsiTheme="minorHAnsi" w:cs="Arial"/>
                <w:b/>
                <w:szCs w:val="20"/>
              </w:rPr>
            </w:pPr>
            <w:r w:rsidRPr="00885726">
              <w:rPr>
                <w:rFonts w:asciiTheme="minorHAnsi" w:hAnsiTheme="minorHAnsi" w:cs="Arial"/>
                <w:b/>
                <w:szCs w:val="20"/>
              </w:rPr>
              <w:t>Termín plnění</w:t>
            </w:r>
          </w:p>
        </w:tc>
      </w:tr>
      <w:tr w:rsidR="00885726" w:rsidRPr="00885726" w14:paraId="1094C7ED" w14:textId="77777777" w:rsidTr="00885726">
        <w:tc>
          <w:tcPr>
            <w:tcW w:w="4366" w:type="dxa"/>
          </w:tcPr>
          <w:p w14:paraId="5E9DF2D4" w14:textId="023A434D" w:rsidR="00885726" w:rsidRPr="00885726" w:rsidRDefault="00885726" w:rsidP="00074464">
            <w:pPr>
              <w:pStyle w:val="Odstavecseseznamem"/>
              <w:ind w:left="0"/>
              <w:rPr>
                <w:rFonts w:asciiTheme="minorHAnsi" w:hAnsiTheme="minorHAnsi" w:cs="Arial"/>
                <w:szCs w:val="20"/>
              </w:rPr>
            </w:pPr>
            <w:r w:rsidRPr="00885726">
              <w:rPr>
                <w:rFonts w:asciiTheme="minorHAnsi" w:hAnsiTheme="minorHAnsi" w:cs="Tahoma"/>
                <w:szCs w:val="20"/>
              </w:rPr>
              <w:t>Přípravné práce</w:t>
            </w:r>
          </w:p>
        </w:tc>
        <w:tc>
          <w:tcPr>
            <w:tcW w:w="5557" w:type="dxa"/>
            <w:vAlign w:val="center"/>
          </w:tcPr>
          <w:p w14:paraId="6C799D4F" w14:textId="14830860" w:rsidR="00885726" w:rsidRPr="00885726" w:rsidRDefault="00885726" w:rsidP="00074464">
            <w:pPr>
              <w:pStyle w:val="Odstavecseseznamem"/>
              <w:ind w:left="0"/>
              <w:rPr>
                <w:rFonts w:asciiTheme="minorHAnsi" w:hAnsiTheme="minorHAnsi" w:cs="Arial"/>
                <w:szCs w:val="20"/>
              </w:rPr>
            </w:pPr>
            <w:r w:rsidRPr="00885726">
              <w:rPr>
                <w:rFonts w:asciiTheme="minorHAnsi" w:hAnsiTheme="minorHAnsi" w:cs="Tahoma"/>
                <w:b/>
                <w:szCs w:val="20"/>
              </w:rPr>
              <w:t>do 20 týdnů</w:t>
            </w:r>
            <w:r w:rsidRPr="00885726">
              <w:rPr>
                <w:rFonts w:asciiTheme="minorHAnsi" w:hAnsiTheme="minorHAnsi" w:cs="Tahoma"/>
                <w:szCs w:val="20"/>
              </w:rPr>
              <w:t xml:space="preserve"> od zahájení prací</w:t>
            </w:r>
          </w:p>
        </w:tc>
      </w:tr>
      <w:tr w:rsidR="00885726" w:rsidRPr="00885726" w14:paraId="26493C1F" w14:textId="77777777" w:rsidTr="00885726">
        <w:tc>
          <w:tcPr>
            <w:tcW w:w="4366" w:type="dxa"/>
          </w:tcPr>
          <w:p w14:paraId="36C69C0D" w14:textId="4A35E836" w:rsidR="00885726" w:rsidRPr="00885726" w:rsidRDefault="00885726" w:rsidP="00074464">
            <w:pPr>
              <w:pStyle w:val="Odstavecseseznamem"/>
              <w:ind w:left="0"/>
              <w:rPr>
                <w:rFonts w:asciiTheme="minorHAnsi" w:hAnsiTheme="minorHAnsi" w:cs="Arial"/>
                <w:szCs w:val="20"/>
              </w:rPr>
            </w:pPr>
            <w:r w:rsidRPr="00885726">
              <w:rPr>
                <w:rFonts w:asciiTheme="minorHAnsi" w:hAnsiTheme="minorHAnsi" w:cs="Tahoma"/>
                <w:szCs w:val="20"/>
              </w:rPr>
              <w:t>Projektová dokumentace pro společné povolení:</w:t>
            </w:r>
          </w:p>
        </w:tc>
        <w:tc>
          <w:tcPr>
            <w:tcW w:w="5557" w:type="dxa"/>
            <w:vAlign w:val="center"/>
          </w:tcPr>
          <w:p w14:paraId="6151E7A6" w14:textId="68407235" w:rsidR="00885726" w:rsidRPr="00885726" w:rsidRDefault="00885726" w:rsidP="00074464">
            <w:pPr>
              <w:pStyle w:val="Odstavecseseznamem"/>
              <w:ind w:left="0"/>
              <w:rPr>
                <w:rFonts w:asciiTheme="minorHAnsi" w:hAnsiTheme="minorHAnsi" w:cs="Tahoma"/>
                <w:b/>
                <w:szCs w:val="20"/>
              </w:rPr>
            </w:pPr>
            <w:r w:rsidRPr="00885726">
              <w:rPr>
                <w:rFonts w:asciiTheme="minorHAnsi" w:hAnsiTheme="minorHAnsi" w:cs="Tahoma"/>
                <w:b/>
                <w:szCs w:val="20"/>
              </w:rPr>
              <w:t xml:space="preserve">do </w:t>
            </w:r>
            <w:r w:rsidRPr="00885726">
              <w:rPr>
                <w:rFonts w:asciiTheme="minorHAnsi" w:hAnsiTheme="minorHAnsi" w:cs="Tahoma"/>
                <w:b/>
                <w:szCs w:val="20"/>
                <w:highlight w:val="yellow"/>
              </w:rPr>
              <w:t>[doplní účastník řízení]</w:t>
            </w:r>
            <w:r w:rsidRPr="00885726">
              <w:rPr>
                <w:rFonts w:asciiTheme="minorHAnsi" w:hAnsiTheme="minorHAnsi" w:cs="Tahoma"/>
                <w:b/>
                <w:szCs w:val="20"/>
              </w:rPr>
              <w:t xml:space="preserve"> </w:t>
            </w:r>
            <w:r w:rsidRPr="00885726">
              <w:rPr>
                <w:rFonts w:asciiTheme="minorHAnsi" w:hAnsiTheme="minorHAnsi" w:cs="Tahoma"/>
                <w:szCs w:val="20"/>
              </w:rPr>
              <w:t>od schválení architektonické studie</w:t>
            </w:r>
            <w:r w:rsidRPr="00885726">
              <w:rPr>
                <w:rFonts w:asciiTheme="minorHAnsi" w:hAnsiTheme="minorHAnsi" w:cs="Tahoma"/>
                <w:b/>
                <w:szCs w:val="20"/>
              </w:rPr>
              <w:t xml:space="preserve">. </w:t>
            </w:r>
          </w:p>
          <w:p w14:paraId="7C5D671A" w14:textId="1E30B1E2" w:rsidR="00885726" w:rsidRPr="00885726" w:rsidRDefault="00885726" w:rsidP="00074464">
            <w:pPr>
              <w:pStyle w:val="Odstavecseseznamem"/>
              <w:ind w:left="0"/>
              <w:rPr>
                <w:rFonts w:asciiTheme="minorHAnsi" w:hAnsiTheme="minorHAnsi" w:cs="Arial"/>
                <w:szCs w:val="20"/>
              </w:rPr>
            </w:pPr>
            <w:r w:rsidRPr="00885726">
              <w:rPr>
                <w:rFonts w:asciiTheme="minorHAnsi" w:hAnsiTheme="minorHAnsi" w:cs="Tahoma"/>
                <w:b/>
                <w:color w:val="FF0000"/>
                <w:szCs w:val="20"/>
              </w:rPr>
              <w:t xml:space="preserve">(Pozn. zadavatele: </w:t>
            </w:r>
            <w:r w:rsidRPr="00885726">
              <w:rPr>
                <w:rFonts w:asciiTheme="minorHAnsi" w:hAnsiTheme="minorHAnsi" w:cs="Tahoma"/>
                <w:color w:val="FF0000"/>
                <w:szCs w:val="20"/>
              </w:rPr>
              <w:t xml:space="preserve">Zadavatel tímto stanovuje podmínku, že maximální doba, kterou může dodavatel ke zpracování PD nabídnout, činí </w:t>
            </w:r>
            <w:r w:rsidRPr="00885726">
              <w:rPr>
                <w:rFonts w:asciiTheme="minorHAnsi" w:hAnsiTheme="minorHAnsi" w:cs="Tahoma"/>
                <w:b/>
                <w:color w:val="FF0000"/>
                <w:szCs w:val="20"/>
              </w:rPr>
              <w:t xml:space="preserve">28 týdnů </w:t>
            </w:r>
            <w:r w:rsidRPr="00885726">
              <w:rPr>
                <w:rFonts w:asciiTheme="minorHAnsi" w:hAnsiTheme="minorHAnsi" w:cs="Tahoma"/>
                <w:color w:val="FF0000"/>
                <w:szCs w:val="20"/>
              </w:rPr>
              <w:t>od schválení architektonické studie)</w:t>
            </w:r>
          </w:p>
        </w:tc>
      </w:tr>
      <w:tr w:rsidR="00885726" w:rsidRPr="00885726" w14:paraId="58E7D330" w14:textId="77777777" w:rsidTr="00885726">
        <w:tc>
          <w:tcPr>
            <w:tcW w:w="4366" w:type="dxa"/>
          </w:tcPr>
          <w:p w14:paraId="5D7F3D6A" w14:textId="38F24E75" w:rsidR="00885726" w:rsidRPr="00885726" w:rsidRDefault="00885726" w:rsidP="00885726">
            <w:pPr>
              <w:rPr>
                <w:rFonts w:asciiTheme="minorHAnsi" w:hAnsiTheme="minorHAnsi" w:cs="Arial"/>
                <w:sz w:val="20"/>
                <w:szCs w:val="20"/>
              </w:rPr>
            </w:pPr>
            <w:r w:rsidRPr="00885726">
              <w:rPr>
                <w:rFonts w:asciiTheme="minorHAnsi" w:hAnsiTheme="minorHAnsi" w:cs="Tahoma"/>
                <w:sz w:val="20"/>
                <w:szCs w:val="20"/>
              </w:rPr>
              <w:t>Zajištění inženýrské činnosti:</w:t>
            </w:r>
          </w:p>
        </w:tc>
        <w:tc>
          <w:tcPr>
            <w:tcW w:w="5557" w:type="dxa"/>
            <w:vAlign w:val="center"/>
          </w:tcPr>
          <w:p w14:paraId="22EC28D9" w14:textId="4A935C0A" w:rsidR="00885726" w:rsidRPr="00885726" w:rsidRDefault="00885726" w:rsidP="00074464">
            <w:pPr>
              <w:rPr>
                <w:rFonts w:asciiTheme="minorHAnsi" w:hAnsiTheme="minorHAnsi" w:cs="Arial"/>
                <w:sz w:val="20"/>
                <w:szCs w:val="20"/>
              </w:rPr>
            </w:pPr>
            <w:r w:rsidRPr="00885726">
              <w:rPr>
                <w:rFonts w:asciiTheme="minorHAnsi" w:eastAsia="Arial Narrow" w:hAnsiTheme="minorHAnsi" w:cs="Arial Narrow"/>
                <w:b/>
                <w:color w:val="000000"/>
                <w:sz w:val="20"/>
                <w:szCs w:val="20"/>
                <w:lang w:bidi="cs-CZ"/>
              </w:rPr>
              <w:t xml:space="preserve">do </w:t>
            </w:r>
            <w:r w:rsidRPr="00885726">
              <w:rPr>
                <w:rFonts w:asciiTheme="minorHAnsi" w:eastAsia="Arial Narrow" w:hAnsiTheme="minorHAnsi" w:cs="Arial Narrow"/>
                <w:b/>
                <w:bCs/>
                <w:color w:val="000000"/>
                <w:sz w:val="20"/>
                <w:szCs w:val="20"/>
                <w:lang w:bidi="cs-CZ"/>
              </w:rPr>
              <w:t>12 týdnů</w:t>
            </w:r>
            <w:r w:rsidRPr="00885726">
              <w:rPr>
                <w:rFonts w:asciiTheme="minorHAnsi" w:eastAsia="Arial Narrow" w:hAnsiTheme="minorHAnsi" w:cs="Arial Narrow"/>
                <w:color w:val="000000"/>
                <w:sz w:val="20"/>
                <w:szCs w:val="20"/>
                <w:lang w:bidi="cs-CZ"/>
              </w:rPr>
              <w:t xml:space="preserve"> od zpracování PD pro společné povolení (společné územní a stavební řízení)</w:t>
            </w:r>
          </w:p>
        </w:tc>
      </w:tr>
      <w:tr w:rsidR="00885726" w:rsidRPr="00885726" w14:paraId="4C7ED3C5" w14:textId="77777777" w:rsidTr="00885726">
        <w:tc>
          <w:tcPr>
            <w:tcW w:w="4366" w:type="dxa"/>
          </w:tcPr>
          <w:p w14:paraId="05FB1321" w14:textId="426E062F" w:rsidR="00885726" w:rsidRPr="00885726" w:rsidRDefault="00885726" w:rsidP="00885726">
            <w:pPr>
              <w:rPr>
                <w:rFonts w:asciiTheme="minorHAnsi" w:hAnsiTheme="minorHAnsi" w:cs="Tahoma"/>
                <w:sz w:val="20"/>
                <w:szCs w:val="20"/>
              </w:rPr>
            </w:pPr>
            <w:r w:rsidRPr="00885726">
              <w:rPr>
                <w:rFonts w:asciiTheme="minorHAnsi" w:hAnsiTheme="minorHAnsi" w:cs="Tahoma"/>
                <w:sz w:val="20"/>
                <w:szCs w:val="20"/>
              </w:rPr>
              <w:t>Projektová dokumentace pro výběr zhotovitele stavby:</w:t>
            </w:r>
          </w:p>
        </w:tc>
        <w:tc>
          <w:tcPr>
            <w:tcW w:w="5557" w:type="dxa"/>
            <w:vAlign w:val="center"/>
          </w:tcPr>
          <w:p w14:paraId="6E6C09A2" w14:textId="11F02294" w:rsidR="00885726" w:rsidRPr="00885726" w:rsidRDefault="00885726" w:rsidP="00885726">
            <w:pPr>
              <w:pStyle w:val="Odstavecseseznamem"/>
              <w:ind w:left="0"/>
              <w:rPr>
                <w:rFonts w:asciiTheme="minorHAnsi" w:hAnsiTheme="minorHAnsi" w:cs="Tahoma"/>
                <w:b/>
                <w:szCs w:val="20"/>
              </w:rPr>
            </w:pPr>
            <w:r w:rsidRPr="00885726">
              <w:rPr>
                <w:rFonts w:asciiTheme="minorHAnsi" w:hAnsiTheme="minorHAnsi" w:cs="Tahoma"/>
                <w:b/>
                <w:szCs w:val="20"/>
              </w:rPr>
              <w:t xml:space="preserve">Do </w:t>
            </w:r>
            <w:r w:rsidRPr="00885726">
              <w:rPr>
                <w:rFonts w:asciiTheme="minorHAnsi" w:hAnsiTheme="minorHAnsi" w:cs="Tahoma"/>
                <w:b/>
                <w:szCs w:val="20"/>
                <w:highlight w:val="yellow"/>
              </w:rPr>
              <w:t>[doplní účastník řízení]</w:t>
            </w:r>
            <w:r w:rsidRPr="00885726">
              <w:rPr>
                <w:rFonts w:asciiTheme="minorHAnsi" w:hAnsiTheme="minorHAnsi" w:cs="Tahoma"/>
                <w:b/>
                <w:szCs w:val="20"/>
              </w:rPr>
              <w:t xml:space="preserve"> </w:t>
            </w:r>
            <w:r w:rsidRPr="00885726">
              <w:rPr>
                <w:rFonts w:asciiTheme="minorHAnsi" w:eastAsia="Arial Narrow" w:hAnsiTheme="minorHAnsi" w:cs="Arial Narrow"/>
                <w:color w:val="000000"/>
                <w:szCs w:val="20"/>
                <w:lang w:bidi="cs-CZ"/>
              </w:rPr>
              <w:t>od podání žádosti o vydání stavebního povolení</w:t>
            </w:r>
            <w:r w:rsidRPr="00885726">
              <w:rPr>
                <w:rFonts w:asciiTheme="minorHAnsi" w:hAnsiTheme="minorHAnsi" w:cs="Tahoma"/>
                <w:b/>
                <w:szCs w:val="20"/>
              </w:rPr>
              <w:t xml:space="preserve">. </w:t>
            </w:r>
          </w:p>
          <w:p w14:paraId="0C19953C" w14:textId="41FE67DB" w:rsidR="00885726" w:rsidRPr="00885726" w:rsidRDefault="00885726" w:rsidP="00885726">
            <w:pPr>
              <w:rPr>
                <w:rFonts w:asciiTheme="minorHAnsi" w:eastAsia="Arial Narrow" w:hAnsiTheme="minorHAnsi" w:cs="Arial Narrow"/>
                <w:b/>
                <w:color w:val="000000"/>
                <w:sz w:val="20"/>
                <w:szCs w:val="20"/>
                <w:lang w:bidi="cs-CZ"/>
              </w:rPr>
            </w:pPr>
            <w:r w:rsidRPr="00885726">
              <w:rPr>
                <w:rFonts w:asciiTheme="minorHAnsi" w:hAnsiTheme="minorHAnsi" w:cs="Tahoma"/>
                <w:b/>
                <w:color w:val="FF0000"/>
                <w:sz w:val="20"/>
                <w:szCs w:val="20"/>
              </w:rPr>
              <w:t xml:space="preserve">(Pozn. zadavatele: </w:t>
            </w:r>
            <w:r w:rsidRPr="00885726">
              <w:rPr>
                <w:rFonts w:asciiTheme="minorHAnsi" w:hAnsiTheme="minorHAnsi" w:cs="Tahoma"/>
                <w:color w:val="FF0000"/>
                <w:sz w:val="20"/>
                <w:szCs w:val="20"/>
              </w:rPr>
              <w:t xml:space="preserve">Zadavatel tímto stanovuje podmínku, že maximální doba, kterou může dodavatel ke zpracování PD nabídnout, činí </w:t>
            </w:r>
            <w:r w:rsidRPr="00885726">
              <w:rPr>
                <w:rFonts w:asciiTheme="minorHAnsi" w:hAnsiTheme="minorHAnsi" w:cs="Tahoma"/>
                <w:b/>
                <w:color w:val="FF0000"/>
                <w:sz w:val="20"/>
                <w:szCs w:val="20"/>
              </w:rPr>
              <w:t xml:space="preserve">20 týdnů </w:t>
            </w:r>
            <w:r w:rsidRPr="00885726">
              <w:rPr>
                <w:rFonts w:asciiTheme="minorHAnsi" w:hAnsiTheme="minorHAnsi" w:cs="Tahoma"/>
                <w:color w:val="FF0000"/>
                <w:sz w:val="20"/>
                <w:szCs w:val="20"/>
                <w:lang w:bidi="cs-CZ"/>
              </w:rPr>
              <w:t>od podání žádosti o vydání stavebního povolení.</w:t>
            </w:r>
            <w:r w:rsidRPr="00885726">
              <w:rPr>
                <w:rFonts w:asciiTheme="minorHAnsi" w:hAnsiTheme="minorHAnsi" w:cs="Tahoma"/>
                <w:color w:val="FF0000"/>
                <w:sz w:val="20"/>
                <w:szCs w:val="20"/>
              </w:rPr>
              <w:t>)</w:t>
            </w:r>
          </w:p>
        </w:tc>
      </w:tr>
    </w:tbl>
    <w:p w14:paraId="243EF7A2" w14:textId="77777777" w:rsidR="000D7CC5" w:rsidRDefault="000D7CC5" w:rsidP="000E48B5">
      <w:pPr>
        <w:jc w:val="both"/>
        <w:rPr>
          <w:rFonts w:asciiTheme="minorHAnsi" w:hAnsiTheme="minorHAnsi"/>
          <w:sz w:val="22"/>
          <w:szCs w:val="22"/>
        </w:rPr>
      </w:pPr>
    </w:p>
    <w:p w14:paraId="07757AA1" w14:textId="77777777" w:rsidR="00AB3299" w:rsidRPr="000E48B5" w:rsidRDefault="00AB3299" w:rsidP="003D261E">
      <w:pPr>
        <w:ind w:left="360" w:hanging="360"/>
        <w:rPr>
          <w:rFonts w:asciiTheme="minorHAnsi" w:hAnsiTheme="minorHAnsi"/>
          <w:szCs w:val="20"/>
        </w:rPr>
      </w:pPr>
    </w:p>
    <w:p w14:paraId="51F6427F" w14:textId="2C2FB94F" w:rsidR="000E48B5" w:rsidRPr="003D261E" w:rsidRDefault="000E48B5" w:rsidP="00885726">
      <w:pPr>
        <w:pStyle w:val="Odstavecseseznamem"/>
        <w:numPr>
          <w:ilvl w:val="0"/>
          <w:numId w:val="68"/>
        </w:numPr>
        <w:suppressAutoHyphens/>
        <w:contextualSpacing w:val="0"/>
        <w:jc w:val="center"/>
        <w:rPr>
          <w:rFonts w:asciiTheme="minorHAnsi" w:hAnsiTheme="minorHAnsi"/>
          <w:b/>
        </w:rPr>
      </w:pPr>
    </w:p>
    <w:p w14:paraId="6F61F00E" w14:textId="77777777" w:rsidR="000E48B5" w:rsidRPr="00885726" w:rsidRDefault="000E48B5" w:rsidP="000E48B5">
      <w:pPr>
        <w:keepNext/>
        <w:spacing w:after="120"/>
        <w:ind w:right="-23"/>
        <w:jc w:val="center"/>
        <w:outlineLvl w:val="6"/>
        <w:rPr>
          <w:rFonts w:asciiTheme="minorHAnsi" w:hAnsiTheme="minorHAnsi" w:cs="Arial"/>
          <w:b/>
          <w:sz w:val="20"/>
        </w:rPr>
      </w:pPr>
      <w:r w:rsidRPr="00885726">
        <w:rPr>
          <w:rFonts w:asciiTheme="minorHAnsi" w:hAnsiTheme="minorHAnsi" w:cs="Arial"/>
          <w:b/>
          <w:sz w:val="20"/>
        </w:rPr>
        <w:t>Provádění díla</w:t>
      </w:r>
    </w:p>
    <w:p w14:paraId="1B4334D6" w14:textId="77777777"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1E98D90" w14:textId="77777777"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2FECA387" w:rsidR="000E48B5" w:rsidRPr="003D261E" w:rsidRDefault="000E48B5" w:rsidP="00885726">
      <w:pPr>
        <w:pStyle w:val="Odstavecseseznamem"/>
        <w:numPr>
          <w:ilvl w:val="0"/>
          <w:numId w:val="68"/>
        </w:numPr>
        <w:suppressAutoHyphens/>
        <w:contextualSpacing w:val="0"/>
        <w:jc w:val="center"/>
        <w:rPr>
          <w:rFonts w:asciiTheme="minorHAnsi" w:hAnsiTheme="minorHAnsi"/>
          <w:b/>
        </w:rPr>
      </w:pPr>
    </w:p>
    <w:p w14:paraId="5128C1DB" w14:textId="77777777" w:rsidR="000E48B5" w:rsidRPr="00885726" w:rsidRDefault="000E48B5" w:rsidP="000E48B5">
      <w:pPr>
        <w:keepNext/>
        <w:spacing w:after="120"/>
        <w:ind w:right="-23"/>
        <w:jc w:val="center"/>
        <w:outlineLvl w:val="6"/>
        <w:rPr>
          <w:rFonts w:asciiTheme="minorHAnsi" w:hAnsiTheme="minorHAnsi" w:cs="Arial"/>
          <w:b/>
          <w:sz w:val="20"/>
        </w:rPr>
      </w:pPr>
      <w:r w:rsidRPr="00885726">
        <w:rPr>
          <w:rFonts w:asciiTheme="minorHAnsi" w:hAnsiTheme="minorHAnsi" w:cs="Arial"/>
          <w:b/>
          <w:sz w:val="20"/>
        </w:rPr>
        <w:t>Průběžná kontrola</w:t>
      </w:r>
    </w:p>
    <w:p w14:paraId="23A1C301" w14:textId="74D9505D"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Objednatel je oprávněn kontrolovat provádění díla prostřednictvím pověřených osob.</w:t>
      </w:r>
    </w:p>
    <w:p w14:paraId="3F1A6AD5" w14:textId="4C02E6A9"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Na výzvu objednatele je zhotovitel povinen průběžně jej informovat o stavu rozpracovaného díla, předkládat mu dílčí výsledky a rozpracovanou dokumentaci s ním konzultovat. </w:t>
      </w:r>
    </w:p>
    <w:p w14:paraId="418D6167" w14:textId="471AD65B"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lastRenderedPageBreak/>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40113582" w:rsidR="000E48B5" w:rsidRPr="003D261E" w:rsidRDefault="000E48B5" w:rsidP="00885726">
      <w:pPr>
        <w:pStyle w:val="Odstavecseseznamem"/>
        <w:numPr>
          <w:ilvl w:val="0"/>
          <w:numId w:val="68"/>
        </w:numPr>
        <w:suppressAutoHyphens/>
        <w:contextualSpacing w:val="0"/>
        <w:jc w:val="center"/>
        <w:rPr>
          <w:rFonts w:asciiTheme="minorHAnsi" w:hAnsiTheme="minorHAnsi"/>
          <w:b/>
        </w:rPr>
      </w:pPr>
    </w:p>
    <w:p w14:paraId="06818B56" w14:textId="77777777" w:rsidR="000E48B5" w:rsidRPr="00885726" w:rsidRDefault="000E48B5" w:rsidP="000E48B5">
      <w:pPr>
        <w:keepNext/>
        <w:spacing w:after="120"/>
        <w:ind w:right="-23"/>
        <w:jc w:val="center"/>
        <w:outlineLvl w:val="6"/>
        <w:rPr>
          <w:rFonts w:asciiTheme="minorHAnsi" w:hAnsiTheme="minorHAnsi" w:cs="Arial"/>
          <w:b/>
          <w:sz w:val="20"/>
        </w:rPr>
      </w:pPr>
      <w:r w:rsidRPr="00885726">
        <w:rPr>
          <w:rFonts w:asciiTheme="minorHAnsi" w:hAnsiTheme="minorHAnsi" w:cs="Arial"/>
          <w:b/>
          <w:sz w:val="20"/>
        </w:rPr>
        <w:t>Záruky, odpovědnost za vady</w:t>
      </w:r>
    </w:p>
    <w:p w14:paraId="01A9C508" w14:textId="77777777" w:rsidR="00266C13" w:rsidRPr="00885726" w:rsidRDefault="00266C13"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Zpracovaná projektová dokumentace, na základě které bude provedena stavba včetně zabudovaných technologií, bude způsobilá pro použití k ujednaným, případně jinak obvyklým účelům a zachová si ujednané, případně jinak obvyklé vlastnosti při dodržení předepsaných servisních činností.</w:t>
      </w:r>
    </w:p>
    <w:p w14:paraId="32CB139F" w14:textId="653B0F86"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Zhotovitel odpovídá za správnost a úplnost provedení předmětu díla, provedení prací uvedených v čl. </w:t>
      </w:r>
      <w:r w:rsidR="00885726">
        <w:rPr>
          <w:rFonts w:asciiTheme="minorHAnsi" w:hAnsiTheme="minorHAnsi" w:cs="Tahoma"/>
          <w:szCs w:val="20"/>
        </w:rPr>
        <w:t>I</w:t>
      </w:r>
      <w:r w:rsidRPr="00885726">
        <w:rPr>
          <w:rFonts w:asciiTheme="minorHAnsi" w:hAnsiTheme="minorHAnsi" w:cs="Tahoma"/>
          <w:szCs w:val="20"/>
        </w:rPr>
        <w:t xml:space="preserve">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33BC8923" w14:textId="2F511284"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Zhotovitel poskytuje objednateli záruku, že celé dílo a každá jeho část bude prost</w:t>
      </w:r>
      <w:r w:rsidR="00885726">
        <w:rPr>
          <w:rFonts w:asciiTheme="minorHAnsi" w:hAnsiTheme="minorHAnsi" w:cs="Tahoma"/>
          <w:szCs w:val="20"/>
        </w:rPr>
        <w:t>a</w:t>
      </w:r>
      <w:r w:rsidRPr="00885726">
        <w:rPr>
          <w:rFonts w:asciiTheme="minorHAnsi" w:hAnsiTheme="minorHAnsi" w:cs="Tahoma"/>
          <w:szCs w:val="20"/>
        </w:rPr>
        <w:t xml:space="preserve"> jakýchkoliv vad, </w:t>
      </w:r>
      <w:r w:rsidR="00885726">
        <w:rPr>
          <w:rFonts w:asciiTheme="minorHAnsi" w:hAnsiTheme="minorHAnsi" w:cs="Tahoma"/>
          <w:szCs w:val="20"/>
        </w:rPr>
        <w:t>t</w:t>
      </w:r>
      <w:r w:rsidRPr="00885726">
        <w:rPr>
          <w:rFonts w:asciiTheme="minorHAnsi" w:hAnsiTheme="minorHAnsi" w:cs="Tahoma"/>
          <w:szCs w:val="20"/>
        </w:rPr>
        <w:t xml:space="preserve">j.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 </w:t>
      </w:r>
    </w:p>
    <w:p w14:paraId="67468395" w14:textId="35219064"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Vada na díle bude objednatelem oznámena bez zbytečného odkladu písemně zhotoviteli a tento odstraní závadu neprodleně, nejpozději však odstraní závadu ve lhůtě 10 pracovních dnů, pokud se objednatel se zhotovitelem nedohodnou písemně jinak.</w:t>
      </w:r>
    </w:p>
    <w:p w14:paraId="1732DEF9" w14:textId="63AD0ECA"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Zhotovitel bez zbytečného prodlení a na své vlastní náklady provede znovu činnost a dodá znovu části díla v míře potřebné k odstranění vad zjištěných objednatelem</w:t>
      </w:r>
      <w:r w:rsidR="007D4164" w:rsidRPr="00885726">
        <w:rPr>
          <w:rFonts w:asciiTheme="minorHAnsi" w:hAnsiTheme="minorHAnsi" w:cs="Tahoma"/>
          <w:szCs w:val="20"/>
        </w:rPr>
        <w:t>.</w:t>
      </w:r>
    </w:p>
    <w:p w14:paraId="15A0A2E4" w14:textId="14E3BEBC"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 xml:space="preserve">Zhotovitel je povinen vadu odstranit na vlastní náklady; to neplatí, pokud zhotovitel prokáže, že vadu nezavinil. </w:t>
      </w:r>
    </w:p>
    <w:p w14:paraId="4E95D3A7" w14:textId="3373904E"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Neodstraní-li zhotovitel vady díla</w:t>
      </w:r>
      <w:r w:rsidR="007D4164" w:rsidRPr="00885726">
        <w:rPr>
          <w:rFonts w:asciiTheme="minorHAnsi" w:hAnsiTheme="minorHAnsi" w:cs="Tahoma"/>
          <w:szCs w:val="20"/>
        </w:rPr>
        <w:t xml:space="preserve">, nebo oznámí-li, že vady </w:t>
      </w:r>
      <w:r w:rsidRPr="00885726">
        <w:rPr>
          <w:rFonts w:asciiTheme="minorHAnsi" w:hAnsiTheme="minorHAnsi" w:cs="Tahoma"/>
          <w:szCs w:val="20"/>
        </w:rPr>
        <w:t>neodstraní, může objednatel odstoupit od smlouvy, požadovat přiměřenou slevu z ceny díla nebo 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 30 dnů po obdržení příslušného platebního dokladu objednatele.</w:t>
      </w:r>
    </w:p>
    <w:p w14:paraId="64E58ACD" w14:textId="0DA01D7C"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V případě, že se jedná o vady, které brání užití díla k sjednanému účelu, může objednatel od smlouvy odstoupit.</w:t>
      </w:r>
    </w:p>
    <w:p w14:paraId="550AD235" w14:textId="5297E381"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79CA3A0F" w14:textId="17B542D9" w:rsidR="000E48B5" w:rsidRPr="00885726" w:rsidRDefault="000E48B5" w:rsidP="00885726">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85726">
        <w:rPr>
          <w:rFonts w:asciiTheme="minorHAnsi" w:hAnsiTheme="minorHAnsi" w:cs="Tahoma"/>
          <w:szCs w:val="20"/>
        </w:rPr>
        <w:t>V případě odpovědnosti zhotovitele za vady platí v ostatním § 2615 a násl. občanského zákoníku, ve znění pozdějších předpisů.</w:t>
      </w:r>
    </w:p>
    <w:p w14:paraId="2A74CA9C" w14:textId="6773429C" w:rsidR="000E48B5" w:rsidRPr="003D261E" w:rsidRDefault="000E48B5" w:rsidP="00837087">
      <w:pPr>
        <w:pStyle w:val="Odstavecseseznamem"/>
        <w:numPr>
          <w:ilvl w:val="0"/>
          <w:numId w:val="68"/>
        </w:numPr>
        <w:suppressAutoHyphens/>
        <w:contextualSpacing w:val="0"/>
        <w:jc w:val="center"/>
        <w:rPr>
          <w:rFonts w:asciiTheme="minorHAnsi" w:hAnsiTheme="minorHAnsi"/>
          <w:b/>
        </w:rPr>
      </w:pPr>
    </w:p>
    <w:p w14:paraId="5D8D8B93" w14:textId="77777777" w:rsidR="000E48B5" w:rsidRPr="00837087" w:rsidRDefault="000E48B5" w:rsidP="000E48B5">
      <w:pPr>
        <w:keepNext/>
        <w:spacing w:after="120"/>
        <w:ind w:right="-23"/>
        <w:jc w:val="center"/>
        <w:outlineLvl w:val="6"/>
        <w:rPr>
          <w:rFonts w:asciiTheme="minorHAnsi" w:hAnsiTheme="minorHAnsi" w:cs="Arial"/>
          <w:b/>
          <w:sz w:val="20"/>
        </w:rPr>
      </w:pPr>
      <w:r w:rsidRPr="00837087">
        <w:rPr>
          <w:rFonts w:asciiTheme="minorHAnsi" w:hAnsiTheme="minorHAnsi" w:cs="Arial"/>
          <w:b/>
          <w:sz w:val="20"/>
        </w:rPr>
        <w:t>Zajištění plnění povinností</w:t>
      </w:r>
    </w:p>
    <w:p w14:paraId="1A307C7E" w14:textId="6B5BDC2C"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124AB70" w14:textId="77777777" w:rsidR="000E48B5" w:rsidRPr="00735650"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 xml:space="preserve">Dojde-li k prokazatelnému navýšení ceny díla stavby realizované na základě projektové dokumentace vypracované dle této smlouvy, a to z důvodu jakýchkoliv vad této projektové dokumentace (např. </w:t>
      </w:r>
      <w:r w:rsidRPr="00837087">
        <w:rPr>
          <w:rFonts w:asciiTheme="minorHAnsi" w:hAnsiTheme="minorHAnsi" w:cs="Tahoma"/>
          <w:szCs w:val="20"/>
        </w:rPr>
        <w:lastRenderedPageBreak/>
        <w:t xml:space="preserve">nesouladu mezi soupisem stavebních prací, dodávek a služeb s výkazem výměr a projektovou </w:t>
      </w:r>
      <w:r w:rsidRPr="00735650">
        <w:rPr>
          <w:rFonts w:asciiTheme="minorHAnsi" w:hAnsiTheme="minorHAnsi" w:cs="Tahoma"/>
          <w:szCs w:val="20"/>
        </w:rPr>
        <w:t>dokumentací), je zhotovitel povinen uhradit objednateli smluvní pokutu</w:t>
      </w:r>
    </w:p>
    <w:p w14:paraId="0464F5A3" w14:textId="079110CD" w:rsidR="00837087" w:rsidRPr="00735650" w:rsidRDefault="00837087" w:rsidP="00837087">
      <w:pPr>
        <w:pStyle w:val="Odstavecseseznamem"/>
        <w:numPr>
          <w:ilvl w:val="2"/>
          <w:numId w:val="68"/>
        </w:numPr>
        <w:suppressAutoHyphens/>
        <w:spacing w:after="120"/>
        <w:contextualSpacing w:val="0"/>
        <w:jc w:val="both"/>
        <w:rPr>
          <w:rFonts w:asciiTheme="minorHAnsi" w:hAnsiTheme="minorHAnsi" w:cs="Tahoma"/>
          <w:szCs w:val="20"/>
        </w:rPr>
      </w:pPr>
      <w:r w:rsidRPr="00735650">
        <w:rPr>
          <w:rFonts w:asciiTheme="minorHAnsi" w:hAnsiTheme="minorHAnsi" w:cs="Tahoma"/>
          <w:szCs w:val="20"/>
        </w:rPr>
        <w:t xml:space="preserve">ve výši </w:t>
      </w:r>
      <w:r w:rsidR="00DF0E4A" w:rsidRPr="00735650">
        <w:rPr>
          <w:rFonts w:asciiTheme="minorHAnsi" w:hAnsiTheme="minorHAnsi" w:cs="Tahoma"/>
          <w:b/>
          <w:bCs/>
          <w:szCs w:val="20"/>
        </w:rPr>
        <w:t>1</w:t>
      </w:r>
      <w:r w:rsidRPr="00735650">
        <w:rPr>
          <w:rFonts w:asciiTheme="minorHAnsi" w:hAnsiTheme="minorHAnsi" w:cs="Tahoma"/>
          <w:b/>
          <w:bCs/>
          <w:szCs w:val="20"/>
        </w:rPr>
        <w:t>%</w:t>
      </w:r>
      <w:r w:rsidRPr="00735650">
        <w:rPr>
          <w:rFonts w:asciiTheme="minorHAnsi" w:hAnsiTheme="minorHAnsi" w:cs="Tahoma"/>
          <w:szCs w:val="20"/>
        </w:rPr>
        <w:t xml:space="preserve"> z ceny díla bez DPH za zpracování dokumentace pro provedení stavby v případě navýšení smluvní ceny díla stavby do 5% bez DPH včetně,</w:t>
      </w:r>
    </w:p>
    <w:p w14:paraId="3ACBA941" w14:textId="66943F2E" w:rsidR="000E48B5" w:rsidRPr="00735650" w:rsidRDefault="000E48B5" w:rsidP="00837087">
      <w:pPr>
        <w:pStyle w:val="Odstavecseseznamem"/>
        <w:numPr>
          <w:ilvl w:val="2"/>
          <w:numId w:val="68"/>
        </w:numPr>
        <w:suppressAutoHyphens/>
        <w:spacing w:after="120"/>
        <w:contextualSpacing w:val="0"/>
        <w:jc w:val="both"/>
        <w:rPr>
          <w:rFonts w:asciiTheme="minorHAnsi" w:hAnsiTheme="minorHAnsi" w:cs="Tahoma"/>
          <w:szCs w:val="20"/>
        </w:rPr>
      </w:pPr>
      <w:r w:rsidRPr="00735650">
        <w:rPr>
          <w:rFonts w:asciiTheme="minorHAnsi" w:hAnsiTheme="minorHAnsi" w:cs="Tahoma"/>
          <w:szCs w:val="20"/>
        </w:rPr>
        <w:t xml:space="preserve">ve výši </w:t>
      </w:r>
      <w:r w:rsidR="00DF0E4A" w:rsidRPr="00735650">
        <w:rPr>
          <w:rFonts w:asciiTheme="minorHAnsi" w:hAnsiTheme="minorHAnsi" w:cs="Tahoma"/>
          <w:b/>
          <w:bCs/>
          <w:szCs w:val="20"/>
        </w:rPr>
        <w:t>5</w:t>
      </w:r>
      <w:r w:rsidRPr="00735650">
        <w:rPr>
          <w:rFonts w:asciiTheme="minorHAnsi" w:hAnsiTheme="minorHAnsi" w:cs="Tahoma"/>
          <w:b/>
          <w:bCs/>
          <w:szCs w:val="20"/>
        </w:rPr>
        <w:t>%</w:t>
      </w:r>
      <w:r w:rsidRPr="00735650">
        <w:rPr>
          <w:rFonts w:asciiTheme="minorHAnsi" w:hAnsiTheme="minorHAnsi" w:cs="Tahoma"/>
          <w:szCs w:val="20"/>
        </w:rPr>
        <w:t xml:space="preserve"> z ceny díla </w:t>
      </w:r>
      <w:r w:rsidR="00A74DB9" w:rsidRPr="00735650">
        <w:rPr>
          <w:rFonts w:asciiTheme="minorHAnsi" w:hAnsiTheme="minorHAnsi" w:cs="Tahoma"/>
          <w:szCs w:val="20"/>
        </w:rPr>
        <w:t xml:space="preserve">bez DPH </w:t>
      </w:r>
      <w:r w:rsidRPr="00735650">
        <w:rPr>
          <w:rFonts w:asciiTheme="minorHAnsi" w:hAnsiTheme="minorHAnsi" w:cs="Tahoma"/>
          <w:szCs w:val="20"/>
        </w:rPr>
        <w:t xml:space="preserve">za zpracování dokumentace pro provedení stavby v případě navýšení smluvní ceny díla stavby od 5% do 10% </w:t>
      </w:r>
      <w:r w:rsidR="00A74DB9" w:rsidRPr="00735650">
        <w:rPr>
          <w:rFonts w:asciiTheme="minorHAnsi" w:hAnsiTheme="minorHAnsi" w:cs="Tahoma"/>
          <w:szCs w:val="20"/>
        </w:rPr>
        <w:t xml:space="preserve">bez DPH </w:t>
      </w:r>
      <w:r w:rsidRPr="00735650">
        <w:rPr>
          <w:rFonts w:asciiTheme="minorHAnsi" w:hAnsiTheme="minorHAnsi" w:cs="Tahoma"/>
          <w:szCs w:val="20"/>
        </w:rPr>
        <w:t>včetně,</w:t>
      </w:r>
    </w:p>
    <w:p w14:paraId="3228FD6D" w14:textId="4B4E93AA" w:rsidR="000E48B5" w:rsidRPr="00735650" w:rsidRDefault="000E48B5" w:rsidP="00837087">
      <w:pPr>
        <w:pStyle w:val="Odstavecseseznamem"/>
        <w:numPr>
          <w:ilvl w:val="2"/>
          <w:numId w:val="68"/>
        </w:numPr>
        <w:suppressAutoHyphens/>
        <w:spacing w:after="120"/>
        <w:contextualSpacing w:val="0"/>
        <w:jc w:val="both"/>
        <w:rPr>
          <w:rFonts w:asciiTheme="minorHAnsi" w:hAnsiTheme="minorHAnsi" w:cs="Tahoma"/>
          <w:szCs w:val="20"/>
        </w:rPr>
      </w:pPr>
      <w:r w:rsidRPr="00735650">
        <w:rPr>
          <w:rFonts w:asciiTheme="minorHAnsi" w:hAnsiTheme="minorHAnsi" w:cs="Tahoma"/>
          <w:szCs w:val="20"/>
        </w:rPr>
        <w:t xml:space="preserve">ve výši </w:t>
      </w:r>
      <w:r w:rsidR="00DF0E4A" w:rsidRPr="002354A3">
        <w:rPr>
          <w:rFonts w:asciiTheme="minorHAnsi" w:hAnsiTheme="minorHAnsi" w:cs="Tahoma"/>
          <w:b/>
          <w:bCs/>
          <w:szCs w:val="20"/>
        </w:rPr>
        <w:t>10</w:t>
      </w:r>
      <w:r w:rsidRPr="002354A3">
        <w:rPr>
          <w:rFonts w:asciiTheme="minorHAnsi" w:hAnsiTheme="minorHAnsi" w:cs="Tahoma"/>
          <w:b/>
          <w:bCs/>
          <w:szCs w:val="20"/>
        </w:rPr>
        <w:t>%</w:t>
      </w:r>
      <w:r w:rsidRPr="00735650">
        <w:rPr>
          <w:rFonts w:asciiTheme="minorHAnsi" w:hAnsiTheme="minorHAnsi" w:cs="Tahoma"/>
          <w:szCs w:val="20"/>
        </w:rPr>
        <w:t xml:space="preserve"> z ceny díla</w:t>
      </w:r>
      <w:r w:rsidR="00A74DB9" w:rsidRPr="00735650">
        <w:rPr>
          <w:rFonts w:asciiTheme="minorHAnsi" w:hAnsiTheme="minorHAnsi" w:cs="Tahoma"/>
          <w:szCs w:val="20"/>
        </w:rPr>
        <w:t xml:space="preserve"> bez DPH</w:t>
      </w:r>
      <w:r w:rsidRPr="00735650">
        <w:rPr>
          <w:rFonts w:asciiTheme="minorHAnsi" w:hAnsiTheme="minorHAnsi" w:cs="Tahoma"/>
          <w:szCs w:val="20"/>
        </w:rPr>
        <w:t xml:space="preserve"> za zpracování dokumentace pro provedení stavby v případě navýšení smluvní ceny díla stavby </w:t>
      </w:r>
      <w:r w:rsidR="00A74DB9" w:rsidRPr="00735650">
        <w:rPr>
          <w:rFonts w:asciiTheme="minorHAnsi" w:hAnsiTheme="minorHAnsi" w:cs="Tahoma"/>
          <w:szCs w:val="20"/>
        </w:rPr>
        <w:t xml:space="preserve">bez DPH </w:t>
      </w:r>
      <w:r w:rsidRPr="00735650">
        <w:rPr>
          <w:rFonts w:asciiTheme="minorHAnsi" w:hAnsiTheme="minorHAnsi" w:cs="Tahoma"/>
          <w:szCs w:val="20"/>
        </w:rPr>
        <w:t xml:space="preserve">převyšujícím 10%. </w:t>
      </w:r>
    </w:p>
    <w:p w14:paraId="698F1E21" w14:textId="67BF7CB2" w:rsidR="000E48B5" w:rsidRPr="00735650"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735650">
        <w:rPr>
          <w:rFonts w:asciiTheme="minorHAnsi" w:hAnsiTheme="minorHAnsi" w:cs="Tahoma"/>
          <w:szCs w:val="20"/>
        </w:rPr>
        <w:t xml:space="preserve">Ustanovení </w:t>
      </w:r>
      <w:r w:rsidR="00837087" w:rsidRPr="00735650">
        <w:rPr>
          <w:rFonts w:asciiTheme="minorHAnsi" w:hAnsiTheme="minorHAnsi" w:cs="Tahoma"/>
          <w:szCs w:val="20"/>
        </w:rPr>
        <w:t>dle bodu 8.2</w:t>
      </w:r>
      <w:r w:rsidRPr="00735650">
        <w:rPr>
          <w:rFonts w:asciiTheme="minorHAnsi" w:hAnsiTheme="minorHAnsi" w:cs="Tahoma"/>
          <w:szCs w:val="20"/>
        </w:rPr>
        <w:t xml:space="preserve"> </w:t>
      </w:r>
      <w:r w:rsidR="00837087" w:rsidRPr="00735650">
        <w:rPr>
          <w:rFonts w:asciiTheme="minorHAnsi" w:hAnsiTheme="minorHAnsi" w:cs="Tahoma"/>
          <w:szCs w:val="20"/>
        </w:rPr>
        <w:t xml:space="preserve">tohoto článku </w:t>
      </w:r>
      <w:r w:rsidRPr="00735650">
        <w:rPr>
          <w:rFonts w:asciiTheme="minorHAnsi" w:hAnsiTheme="minorHAnsi" w:cs="Tahoma"/>
          <w:szCs w:val="20"/>
        </w:rPr>
        <w:t>se použije obdobně i pro případ navýšení ceny dodávek způsobeného vadou projektu vnitřního</w:t>
      </w:r>
      <w:r w:rsidR="002202D1" w:rsidRPr="00735650">
        <w:rPr>
          <w:rFonts w:asciiTheme="minorHAnsi" w:hAnsiTheme="minorHAnsi" w:cs="Tahoma"/>
          <w:szCs w:val="20"/>
        </w:rPr>
        <w:t xml:space="preserve"> technologického </w:t>
      </w:r>
      <w:r w:rsidRPr="00735650">
        <w:rPr>
          <w:rFonts w:asciiTheme="minorHAnsi" w:hAnsiTheme="minorHAnsi" w:cs="Tahoma"/>
          <w:szCs w:val="20"/>
        </w:rPr>
        <w:t xml:space="preserve">vybavení, kdy bude za základ kalkulace výše smluvní pokuty použita cena za zpracování projektové dokumentace vnitřního </w:t>
      </w:r>
      <w:r w:rsidR="002202D1" w:rsidRPr="00735650">
        <w:rPr>
          <w:rFonts w:asciiTheme="minorHAnsi" w:hAnsiTheme="minorHAnsi" w:cs="Tahoma"/>
          <w:szCs w:val="20"/>
        </w:rPr>
        <w:t xml:space="preserve">technologického </w:t>
      </w:r>
      <w:r w:rsidRPr="00735650">
        <w:rPr>
          <w:rFonts w:asciiTheme="minorHAnsi" w:hAnsiTheme="minorHAnsi" w:cs="Tahoma"/>
          <w:szCs w:val="20"/>
        </w:rPr>
        <w:t xml:space="preserve">vybavení. </w:t>
      </w:r>
    </w:p>
    <w:p w14:paraId="1EBC422E" w14:textId="0AEB8822"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 xml:space="preserve">Bude-li zhotovitel v prodlení s předáním jakékoliv části řádně </w:t>
      </w:r>
      <w:r w:rsidR="0021592F">
        <w:rPr>
          <w:rFonts w:asciiTheme="minorHAnsi" w:hAnsiTheme="minorHAnsi" w:cs="Tahoma"/>
          <w:szCs w:val="20"/>
        </w:rPr>
        <w:t>dokončeného díla dle termínů uvedených v čl. IV</w:t>
      </w:r>
      <w:r w:rsidRPr="00837087">
        <w:rPr>
          <w:rFonts w:asciiTheme="minorHAnsi" w:hAnsiTheme="minorHAnsi" w:cs="Tahoma"/>
          <w:szCs w:val="20"/>
        </w:rPr>
        <w:t>. této smlouvy, zavazuje se zhotovitel zaplatit objednateli za každý den prodlení smluvní pokutu ve výši 0,</w:t>
      </w:r>
      <w:r w:rsidR="0021592F">
        <w:rPr>
          <w:rFonts w:asciiTheme="minorHAnsi" w:hAnsiTheme="minorHAnsi" w:cs="Tahoma"/>
          <w:szCs w:val="20"/>
        </w:rPr>
        <w:t>1</w:t>
      </w:r>
      <w:r w:rsidR="00A9137A" w:rsidRPr="00837087">
        <w:rPr>
          <w:rFonts w:asciiTheme="minorHAnsi" w:hAnsiTheme="minorHAnsi" w:cs="Tahoma"/>
          <w:szCs w:val="20"/>
        </w:rPr>
        <w:t xml:space="preserve"> </w:t>
      </w:r>
      <w:r w:rsidRPr="00837087">
        <w:rPr>
          <w:rFonts w:asciiTheme="minorHAnsi" w:hAnsiTheme="minorHAnsi" w:cs="Tahoma"/>
          <w:szCs w:val="20"/>
        </w:rPr>
        <w:t>% z</w:t>
      </w:r>
      <w:r w:rsidR="0021592F">
        <w:rPr>
          <w:rFonts w:asciiTheme="minorHAnsi" w:hAnsiTheme="minorHAnsi" w:cs="Tahoma"/>
          <w:szCs w:val="20"/>
        </w:rPr>
        <w:t xml:space="preserve"> celkové</w:t>
      </w:r>
      <w:r w:rsidRPr="00837087">
        <w:rPr>
          <w:rFonts w:asciiTheme="minorHAnsi" w:hAnsiTheme="minorHAnsi" w:cs="Tahoma"/>
          <w:szCs w:val="20"/>
        </w:rPr>
        <w:t xml:space="preserve"> smluvní ceny </w:t>
      </w:r>
      <w:r w:rsidR="00A9137A" w:rsidRPr="00837087">
        <w:rPr>
          <w:rFonts w:asciiTheme="minorHAnsi" w:hAnsiTheme="minorHAnsi" w:cs="Tahoma"/>
          <w:szCs w:val="20"/>
        </w:rPr>
        <w:t xml:space="preserve">bez DPH </w:t>
      </w:r>
      <w:r w:rsidRPr="00837087">
        <w:rPr>
          <w:rFonts w:asciiTheme="minorHAnsi" w:hAnsiTheme="minorHAnsi" w:cs="Tahoma"/>
          <w:szCs w:val="20"/>
        </w:rPr>
        <w:t>uvedené v</w:t>
      </w:r>
      <w:r w:rsidR="0021592F">
        <w:rPr>
          <w:rFonts w:asciiTheme="minorHAnsi" w:hAnsiTheme="minorHAnsi" w:cs="Tahoma"/>
          <w:szCs w:val="20"/>
        </w:rPr>
        <w:t xml:space="preserve"> čl. III </w:t>
      </w:r>
      <w:r w:rsidRPr="00837087">
        <w:rPr>
          <w:rFonts w:asciiTheme="minorHAnsi" w:hAnsiTheme="minorHAnsi" w:cs="Tahoma"/>
          <w:szCs w:val="20"/>
        </w:rPr>
        <w:t>této smlouvy. Smluvní strany si ujednávají možnost uplatnění této smluvní pokuty zápočtem proti ceně díla fakturované zhotovitelem. O tomto postupu objednatel zhotovitele informuje při proplacení faktury.</w:t>
      </w:r>
    </w:p>
    <w:p w14:paraId="3743B195" w14:textId="21CB2A68"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 xml:space="preserve">Při odstoupení objednatele od smlouvy pro její podstatné porušení zhotovitelem podle čl. </w:t>
      </w:r>
      <w:r w:rsidR="0021592F">
        <w:rPr>
          <w:rFonts w:asciiTheme="minorHAnsi" w:hAnsiTheme="minorHAnsi" w:cs="Tahoma"/>
          <w:szCs w:val="20"/>
        </w:rPr>
        <w:t>IX</w:t>
      </w:r>
      <w:r w:rsidRPr="00837087">
        <w:rPr>
          <w:rFonts w:asciiTheme="minorHAnsi" w:hAnsiTheme="minorHAnsi" w:cs="Tahoma"/>
          <w:szCs w:val="20"/>
        </w:rPr>
        <w:t xml:space="preserve">. </w:t>
      </w:r>
      <w:r w:rsidR="0021592F">
        <w:rPr>
          <w:rFonts w:asciiTheme="minorHAnsi" w:hAnsiTheme="minorHAnsi" w:cs="Tahoma"/>
          <w:szCs w:val="20"/>
        </w:rPr>
        <w:t>odst. 9.2</w:t>
      </w:r>
      <w:r w:rsidRPr="00837087">
        <w:rPr>
          <w:rFonts w:asciiTheme="minorHAnsi" w:hAnsiTheme="minorHAnsi" w:cs="Tahoma"/>
          <w:szCs w:val="20"/>
        </w:rPr>
        <w:t xml:space="preserve"> písm. a) – e) uplatní objednatel za toto porušení vůči zhotoviteli též smluvní pokutu ve výši 20% </w:t>
      </w:r>
      <w:r w:rsidR="0021592F">
        <w:rPr>
          <w:rFonts w:asciiTheme="minorHAnsi" w:hAnsiTheme="minorHAnsi" w:cs="Tahoma"/>
          <w:szCs w:val="20"/>
        </w:rPr>
        <w:t xml:space="preserve">z celkové </w:t>
      </w:r>
      <w:r w:rsidRPr="00837087">
        <w:rPr>
          <w:rFonts w:asciiTheme="minorHAnsi" w:hAnsiTheme="minorHAnsi" w:cs="Tahoma"/>
          <w:szCs w:val="20"/>
        </w:rPr>
        <w:t>smluvní ceny díla</w:t>
      </w:r>
      <w:r w:rsidR="0021592F">
        <w:rPr>
          <w:rFonts w:asciiTheme="minorHAnsi" w:hAnsiTheme="minorHAnsi" w:cs="Tahoma"/>
          <w:szCs w:val="20"/>
        </w:rPr>
        <w:t xml:space="preserve"> bez DPH</w:t>
      </w:r>
      <w:r w:rsidRPr="00837087">
        <w:rPr>
          <w:rFonts w:asciiTheme="minorHAnsi" w:hAnsiTheme="minorHAnsi" w:cs="Tahoma"/>
          <w:szCs w:val="20"/>
        </w:rPr>
        <w:t>.</w:t>
      </w:r>
    </w:p>
    <w:p w14:paraId="5B930D48" w14:textId="13FA49E4" w:rsidR="00AA23F8" w:rsidRPr="00837087" w:rsidRDefault="00AA23F8"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 xml:space="preserve">V případě, že zhotovitel bude v prodlení s předložením pojištění odpovědnosti za škodu způsobenou jeho činností v důsledku provádění díla objednateli, případně třetím osobám </w:t>
      </w:r>
      <w:r w:rsidR="0021592F">
        <w:rPr>
          <w:rFonts w:asciiTheme="minorHAnsi" w:hAnsiTheme="minorHAnsi" w:cs="Tahoma"/>
          <w:szCs w:val="20"/>
        </w:rPr>
        <w:t xml:space="preserve">dle </w:t>
      </w:r>
      <w:r w:rsidRPr="00837087">
        <w:rPr>
          <w:rFonts w:asciiTheme="minorHAnsi" w:hAnsiTheme="minorHAnsi" w:cs="Tahoma"/>
          <w:szCs w:val="20"/>
        </w:rPr>
        <w:t xml:space="preserve">čl. </w:t>
      </w:r>
      <w:r w:rsidR="003D3574">
        <w:rPr>
          <w:rFonts w:asciiTheme="minorHAnsi" w:hAnsiTheme="minorHAnsi" w:cs="Tahoma"/>
          <w:szCs w:val="20"/>
        </w:rPr>
        <w:t>X</w:t>
      </w:r>
      <w:r w:rsidRPr="00837087">
        <w:rPr>
          <w:rFonts w:asciiTheme="minorHAnsi" w:hAnsiTheme="minorHAnsi" w:cs="Tahoma"/>
          <w:szCs w:val="20"/>
        </w:rPr>
        <w:t>I</w:t>
      </w:r>
      <w:r w:rsidR="003D3574">
        <w:rPr>
          <w:rFonts w:asciiTheme="minorHAnsi" w:hAnsiTheme="minorHAnsi" w:cs="Tahoma"/>
          <w:szCs w:val="20"/>
        </w:rPr>
        <w:t>V</w:t>
      </w:r>
      <w:r w:rsidR="0021592F">
        <w:rPr>
          <w:rFonts w:asciiTheme="minorHAnsi" w:hAnsiTheme="minorHAnsi" w:cs="Tahoma"/>
          <w:szCs w:val="20"/>
        </w:rPr>
        <w:t xml:space="preserve"> odst. 1</w:t>
      </w:r>
      <w:r w:rsidR="003D3574">
        <w:rPr>
          <w:rFonts w:asciiTheme="minorHAnsi" w:hAnsiTheme="minorHAnsi" w:cs="Tahoma"/>
          <w:szCs w:val="20"/>
        </w:rPr>
        <w:t>4</w:t>
      </w:r>
      <w:r w:rsidR="0021592F">
        <w:rPr>
          <w:rFonts w:asciiTheme="minorHAnsi" w:hAnsiTheme="minorHAnsi" w:cs="Tahoma"/>
          <w:szCs w:val="20"/>
        </w:rPr>
        <w:t>.</w:t>
      </w:r>
      <w:r w:rsidR="003D3574">
        <w:rPr>
          <w:rFonts w:asciiTheme="minorHAnsi" w:hAnsiTheme="minorHAnsi" w:cs="Tahoma"/>
          <w:szCs w:val="20"/>
        </w:rPr>
        <w:t>2</w:t>
      </w:r>
      <w:r w:rsidR="0021592F">
        <w:rPr>
          <w:rFonts w:asciiTheme="minorHAnsi" w:hAnsiTheme="minorHAnsi" w:cs="Tahoma"/>
          <w:szCs w:val="20"/>
        </w:rPr>
        <w:t xml:space="preserve"> této </w:t>
      </w:r>
      <w:r w:rsidRPr="00837087">
        <w:rPr>
          <w:rFonts w:asciiTheme="minorHAnsi" w:hAnsiTheme="minorHAnsi" w:cs="Tahoma"/>
          <w:szCs w:val="20"/>
        </w:rPr>
        <w:t>smlouvy, uhradí zhotovitel objednateli smluvní pokutu ve výši 1 000,- Kč, a to za každý i započatý den prodlení.</w:t>
      </w:r>
    </w:p>
    <w:p w14:paraId="1BDF14C0" w14:textId="77777777"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582BDB7F" w14:textId="77777777"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Zaplacením smluvní pokuty zhotovitelem není dotčen nárok objednatele na náhradu případných škod vzniklých prodlením či vadným plněním zhotovitele.</w:t>
      </w:r>
    </w:p>
    <w:p w14:paraId="2590777F" w14:textId="77777777"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Pokud není v ostatních ustanoveních smlouvy uvedeno jinak, zaplacení smluvní pokuty zhotovitelem objednateli nezbavuje zhotovitele závazku splnit povinnosti dané mu touto smlouvou.</w:t>
      </w:r>
    </w:p>
    <w:p w14:paraId="32450D3E" w14:textId="77777777" w:rsidR="000E48B5" w:rsidRPr="00837087" w:rsidRDefault="000E48B5" w:rsidP="00837087">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837087">
        <w:rPr>
          <w:rFonts w:asciiTheme="minorHAnsi" w:hAnsiTheme="minorHAnsi" w:cs="Tahoma"/>
          <w:szCs w:val="20"/>
        </w:rPr>
        <w:t>Oprávněnost nároku na smluvní pokutu není podmíněna žádnými formálními úkony ze strany objednatele.</w:t>
      </w:r>
    </w:p>
    <w:p w14:paraId="34F871C6" w14:textId="77777777" w:rsidR="0021592F" w:rsidRPr="000E48B5" w:rsidRDefault="0021592F" w:rsidP="000E48B5">
      <w:pPr>
        <w:tabs>
          <w:tab w:val="left" w:pos="709"/>
        </w:tabs>
        <w:jc w:val="both"/>
        <w:rPr>
          <w:rFonts w:asciiTheme="minorHAnsi" w:hAnsiTheme="minorHAnsi"/>
          <w:szCs w:val="20"/>
        </w:rPr>
      </w:pPr>
    </w:p>
    <w:p w14:paraId="15B8E150" w14:textId="6C4BDA09" w:rsidR="000E48B5" w:rsidRPr="003D261E" w:rsidRDefault="000E48B5" w:rsidP="0021592F">
      <w:pPr>
        <w:pStyle w:val="Odstavecseseznamem"/>
        <w:numPr>
          <w:ilvl w:val="0"/>
          <w:numId w:val="68"/>
        </w:numPr>
        <w:suppressAutoHyphens/>
        <w:contextualSpacing w:val="0"/>
        <w:jc w:val="center"/>
        <w:rPr>
          <w:rFonts w:asciiTheme="minorHAnsi" w:hAnsiTheme="minorHAnsi"/>
          <w:b/>
        </w:rPr>
      </w:pPr>
    </w:p>
    <w:p w14:paraId="70A87E18" w14:textId="77777777" w:rsidR="000E48B5" w:rsidRPr="0021592F" w:rsidRDefault="000E48B5" w:rsidP="000E48B5">
      <w:pPr>
        <w:keepNext/>
        <w:spacing w:after="120"/>
        <w:ind w:right="-23"/>
        <w:jc w:val="center"/>
        <w:outlineLvl w:val="6"/>
        <w:rPr>
          <w:rFonts w:asciiTheme="minorHAnsi" w:hAnsiTheme="minorHAnsi" w:cs="Arial"/>
          <w:b/>
          <w:sz w:val="20"/>
        </w:rPr>
      </w:pPr>
      <w:r w:rsidRPr="0021592F">
        <w:rPr>
          <w:rFonts w:asciiTheme="minorHAnsi" w:hAnsiTheme="minorHAnsi" w:cs="Arial"/>
          <w:b/>
          <w:sz w:val="20"/>
        </w:rPr>
        <w:t>Odstoupení od smlouvy</w:t>
      </w:r>
    </w:p>
    <w:p w14:paraId="0AFA5C3A" w14:textId="47EC58A9"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 xml:space="preserve">Smluvní strany mohou odstoupit od smlouvy z důvodu podstatného porušení smlouvy. </w:t>
      </w:r>
    </w:p>
    <w:p w14:paraId="41B0DA23" w14:textId="70DD503E"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Objednatel má právo odstoupit od smlouvy v případě podstatného porušení smlouvy zhotovitelem, kterým se kromě případů odstoupení objednatele výslovně uvedených v ostatních článcích této smlouvy rozumí také situace, kdy:</w:t>
      </w:r>
    </w:p>
    <w:p w14:paraId="38AD4BFA" w14:textId="77777777" w:rsidR="000E48B5" w:rsidRPr="0021592F" w:rsidRDefault="000E48B5" w:rsidP="000E48B5">
      <w:pPr>
        <w:keepLines/>
        <w:tabs>
          <w:tab w:val="left" w:pos="1276"/>
        </w:tabs>
        <w:spacing w:after="120"/>
        <w:ind w:left="1276" w:hanging="425"/>
        <w:jc w:val="both"/>
        <w:rPr>
          <w:rFonts w:asciiTheme="minorHAnsi" w:hAnsiTheme="minorHAnsi"/>
          <w:sz w:val="20"/>
          <w:szCs w:val="22"/>
        </w:rPr>
      </w:pPr>
      <w:r w:rsidRPr="0021592F">
        <w:rPr>
          <w:rFonts w:asciiTheme="minorHAnsi" w:hAnsiTheme="minorHAnsi"/>
          <w:sz w:val="20"/>
          <w:szCs w:val="22"/>
        </w:rPr>
        <w:t>a)</w:t>
      </w:r>
      <w:r w:rsidRPr="0021592F">
        <w:rPr>
          <w:rFonts w:asciiTheme="minorHAnsi" w:hAnsiTheme="minorHAnsi"/>
          <w:sz w:val="20"/>
          <w:szCs w:val="22"/>
        </w:rPr>
        <w:tab/>
        <w:t>přes opakovaná upozornění objednatele zhotovitel brání nebo jinak znemožní provádění kontrol díla nebo jeho části,</w:t>
      </w:r>
    </w:p>
    <w:p w14:paraId="6B4898CC" w14:textId="3FA7066B" w:rsidR="000E48B5" w:rsidRPr="0021592F" w:rsidRDefault="000E48B5" w:rsidP="000E48B5">
      <w:pPr>
        <w:keepLines/>
        <w:tabs>
          <w:tab w:val="left" w:pos="1276"/>
        </w:tabs>
        <w:spacing w:after="120"/>
        <w:ind w:left="1276" w:hanging="425"/>
        <w:jc w:val="both"/>
        <w:rPr>
          <w:rFonts w:asciiTheme="minorHAnsi" w:hAnsiTheme="minorHAnsi"/>
          <w:sz w:val="20"/>
          <w:szCs w:val="22"/>
        </w:rPr>
      </w:pPr>
      <w:r w:rsidRPr="0021592F">
        <w:rPr>
          <w:rFonts w:asciiTheme="minorHAnsi" w:hAnsiTheme="minorHAnsi"/>
          <w:sz w:val="20"/>
          <w:szCs w:val="22"/>
        </w:rPr>
        <w:t>b)</w:t>
      </w:r>
      <w:r w:rsidRPr="0021592F">
        <w:rPr>
          <w:rFonts w:asciiTheme="minorHAnsi" w:hAnsiTheme="minorHAnsi"/>
          <w:sz w:val="20"/>
          <w:szCs w:val="22"/>
        </w:rPr>
        <w:tab/>
        <w:t>se zhotovitel přes opakované upozornění objednatelem zpozdil o více než 30 dnů s plněním jakékoliv ze svých povinností (zejména nedodržel termín předání dokončeného díla uvedený v článku I</w:t>
      </w:r>
      <w:r w:rsidR="0021592F">
        <w:rPr>
          <w:rFonts w:asciiTheme="minorHAnsi" w:hAnsiTheme="minorHAnsi"/>
          <w:sz w:val="20"/>
          <w:szCs w:val="22"/>
        </w:rPr>
        <w:t>V</w:t>
      </w:r>
      <w:r w:rsidRPr="0021592F">
        <w:rPr>
          <w:rFonts w:asciiTheme="minorHAnsi" w:hAnsiTheme="minorHAnsi"/>
          <w:sz w:val="20"/>
          <w:szCs w:val="22"/>
        </w:rPr>
        <w:t xml:space="preserve">. této smlouvy) stanovených touto smlouvou, pokud pro danou povinnost tato smlouva výslovně nestanoví jinak, </w:t>
      </w:r>
    </w:p>
    <w:p w14:paraId="5B1AC84A" w14:textId="77777777" w:rsidR="000E48B5" w:rsidRPr="0021592F" w:rsidRDefault="000E48B5" w:rsidP="000E48B5">
      <w:pPr>
        <w:keepLines/>
        <w:tabs>
          <w:tab w:val="left" w:pos="1276"/>
          <w:tab w:val="left" w:pos="1440"/>
        </w:tabs>
        <w:spacing w:after="120"/>
        <w:ind w:left="1276" w:hanging="425"/>
        <w:jc w:val="both"/>
        <w:rPr>
          <w:rFonts w:asciiTheme="minorHAnsi" w:hAnsiTheme="minorHAnsi"/>
          <w:sz w:val="20"/>
          <w:szCs w:val="22"/>
        </w:rPr>
      </w:pPr>
      <w:r w:rsidRPr="0021592F">
        <w:rPr>
          <w:rFonts w:asciiTheme="minorHAnsi" w:hAnsiTheme="minorHAnsi"/>
          <w:sz w:val="20"/>
          <w:szCs w:val="22"/>
        </w:rPr>
        <w:t>c)</w:t>
      </w:r>
      <w:r w:rsidRPr="0021592F">
        <w:rPr>
          <w:rFonts w:asciiTheme="minorHAnsi" w:hAnsiTheme="minorHAnsi"/>
          <w:sz w:val="20"/>
          <w:szCs w:val="22"/>
        </w:rPr>
        <w:tab/>
        <w:t xml:space="preserve">zhotovitel opakovaně nerealizuje dílo podle smlouvy nebo opakovaně zanedbává realizaci svých povinností daných smlouvou, </w:t>
      </w:r>
    </w:p>
    <w:p w14:paraId="2D82943A" w14:textId="77777777" w:rsidR="000E48B5" w:rsidRPr="0021592F" w:rsidRDefault="000E48B5" w:rsidP="000E48B5">
      <w:pPr>
        <w:keepLines/>
        <w:tabs>
          <w:tab w:val="left" w:pos="1276"/>
          <w:tab w:val="left" w:pos="1440"/>
        </w:tabs>
        <w:spacing w:after="120"/>
        <w:ind w:left="1276" w:hanging="425"/>
        <w:jc w:val="both"/>
        <w:rPr>
          <w:rFonts w:asciiTheme="minorHAnsi" w:hAnsiTheme="minorHAnsi"/>
          <w:sz w:val="20"/>
          <w:szCs w:val="22"/>
        </w:rPr>
      </w:pPr>
      <w:r w:rsidRPr="0021592F">
        <w:rPr>
          <w:rFonts w:asciiTheme="minorHAnsi" w:hAnsiTheme="minorHAnsi"/>
          <w:sz w:val="20"/>
          <w:szCs w:val="22"/>
        </w:rPr>
        <w:lastRenderedPageBreak/>
        <w:t>d)</w:t>
      </w:r>
      <w:r w:rsidRPr="0021592F">
        <w:rPr>
          <w:rFonts w:asciiTheme="minorHAnsi" w:hAnsiTheme="minorHAnsi"/>
          <w:sz w:val="20"/>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21592F" w:rsidRDefault="000E48B5" w:rsidP="000E48B5">
      <w:pPr>
        <w:spacing w:after="120"/>
        <w:ind w:left="1276" w:hanging="425"/>
        <w:jc w:val="both"/>
        <w:rPr>
          <w:rFonts w:asciiTheme="minorHAnsi" w:hAnsiTheme="minorHAnsi" w:cs="Arial"/>
          <w:sz w:val="20"/>
          <w:szCs w:val="22"/>
        </w:rPr>
      </w:pPr>
      <w:r w:rsidRPr="0021592F">
        <w:rPr>
          <w:rFonts w:asciiTheme="minorHAnsi" w:hAnsiTheme="minorHAnsi" w:cs="Arial"/>
          <w:sz w:val="20"/>
          <w:szCs w:val="22"/>
        </w:rPr>
        <w:t>e)</w:t>
      </w:r>
      <w:r w:rsidRPr="0021592F">
        <w:rPr>
          <w:rFonts w:asciiTheme="minorHAnsi" w:hAnsiTheme="minorHAnsi" w:cs="Arial"/>
          <w:sz w:val="20"/>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21592F" w:rsidRDefault="000E48B5" w:rsidP="000E48B5">
      <w:pPr>
        <w:tabs>
          <w:tab w:val="left" w:pos="1276"/>
        </w:tabs>
        <w:spacing w:after="120"/>
        <w:ind w:left="1276" w:hanging="425"/>
        <w:rPr>
          <w:rFonts w:asciiTheme="minorHAnsi" w:hAnsiTheme="minorHAnsi"/>
          <w:sz w:val="20"/>
          <w:szCs w:val="22"/>
        </w:rPr>
      </w:pPr>
      <w:r w:rsidRPr="0021592F">
        <w:rPr>
          <w:rFonts w:asciiTheme="minorHAnsi" w:hAnsiTheme="minorHAnsi"/>
          <w:sz w:val="20"/>
          <w:szCs w:val="22"/>
        </w:rPr>
        <w:t>f)</w:t>
      </w:r>
      <w:r w:rsidRPr="0021592F">
        <w:rPr>
          <w:rFonts w:asciiTheme="minorHAnsi" w:hAnsiTheme="minorHAnsi"/>
          <w:sz w:val="20"/>
          <w:szCs w:val="22"/>
        </w:rPr>
        <w:tab/>
        <w:t>je zhotovitel v insolvenčním řízení a bylo rozhodnuto o jeho úpadku nebo je v</w:t>
      </w:r>
      <w:r w:rsidR="004E3B56" w:rsidRPr="0021592F">
        <w:rPr>
          <w:rFonts w:asciiTheme="minorHAnsi" w:hAnsiTheme="minorHAnsi"/>
          <w:sz w:val="20"/>
          <w:szCs w:val="22"/>
        </w:rPr>
        <w:t> </w:t>
      </w:r>
      <w:r w:rsidRPr="0021592F">
        <w:rPr>
          <w:rFonts w:asciiTheme="minorHAnsi" w:hAnsiTheme="minorHAnsi"/>
          <w:sz w:val="20"/>
          <w:szCs w:val="22"/>
        </w:rPr>
        <w:t>likvidaci</w:t>
      </w:r>
      <w:r w:rsidR="004E3B56" w:rsidRPr="0021592F">
        <w:rPr>
          <w:rFonts w:asciiTheme="minorHAnsi" w:hAnsiTheme="minorHAnsi"/>
          <w:sz w:val="20"/>
          <w:szCs w:val="22"/>
        </w:rPr>
        <w:t xml:space="preserve"> nebo</w:t>
      </w:r>
    </w:p>
    <w:p w14:paraId="785DC9A7" w14:textId="7E078861" w:rsidR="004E3B56" w:rsidRPr="0021592F" w:rsidRDefault="004E3B56" w:rsidP="000E48B5">
      <w:pPr>
        <w:tabs>
          <w:tab w:val="left" w:pos="1276"/>
        </w:tabs>
        <w:spacing w:after="120"/>
        <w:ind w:left="1276" w:hanging="425"/>
        <w:rPr>
          <w:rFonts w:asciiTheme="minorHAnsi" w:hAnsiTheme="minorHAnsi"/>
          <w:sz w:val="20"/>
          <w:szCs w:val="22"/>
        </w:rPr>
      </w:pPr>
      <w:r w:rsidRPr="0021592F">
        <w:rPr>
          <w:rFonts w:asciiTheme="minorHAnsi" w:hAnsiTheme="minorHAnsi"/>
          <w:sz w:val="20"/>
          <w:szCs w:val="22"/>
        </w:rPr>
        <w:t>g)     neodstraní-li zhotovitel vady díla ve lhůtě podle bodu 6. článku VI. této smlouvy nebo oznámí-li před jejím uplynutím, že vady neodstraní.</w:t>
      </w:r>
    </w:p>
    <w:p w14:paraId="07A2F30D" w14:textId="77777777" w:rsidR="000E48B5" w:rsidRPr="0021592F" w:rsidRDefault="000E48B5" w:rsidP="0021592F">
      <w:pPr>
        <w:pStyle w:val="Odstavecseseznamem"/>
        <w:suppressAutoHyphens/>
        <w:spacing w:after="120"/>
        <w:ind w:left="567"/>
        <w:contextualSpacing w:val="0"/>
        <w:jc w:val="both"/>
        <w:rPr>
          <w:rFonts w:asciiTheme="minorHAnsi" w:hAnsiTheme="minorHAnsi" w:cs="Tahoma"/>
          <w:szCs w:val="20"/>
        </w:rPr>
      </w:pPr>
      <w:r w:rsidRPr="0021592F">
        <w:rPr>
          <w:rFonts w:asciiTheme="minorHAnsi" w:hAnsiTheme="minorHAnsi" w:cs="Tahoma"/>
          <w:szCs w:val="20"/>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3C75420"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0FD77FC3" w:rsidR="000E48B5" w:rsidRPr="0021592F" w:rsidRDefault="0021592F"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Pr>
          <w:rFonts w:asciiTheme="minorHAnsi" w:hAnsiTheme="minorHAnsi" w:cs="Tahoma"/>
          <w:szCs w:val="20"/>
        </w:rPr>
        <w:t>Z</w:t>
      </w:r>
      <w:r w:rsidR="000E48B5" w:rsidRPr="0021592F">
        <w:rPr>
          <w:rFonts w:asciiTheme="minorHAnsi" w:hAnsiTheme="minorHAnsi" w:cs="Tahoma"/>
          <w:szCs w:val="20"/>
        </w:rPr>
        <w:t>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5ECC8024"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V případě odstoupení objednatele od smlouvy z důvodu podstatného porušení smlouvy zhotovitelem nemá zhotovitel nárok na zaplacení ceny podle článku I</w:t>
      </w:r>
      <w:r w:rsidR="0021592F">
        <w:rPr>
          <w:rFonts w:asciiTheme="minorHAnsi" w:hAnsiTheme="minorHAnsi" w:cs="Tahoma"/>
          <w:szCs w:val="20"/>
        </w:rPr>
        <w:t>I</w:t>
      </w:r>
      <w:r w:rsidRPr="0021592F">
        <w:rPr>
          <w:rFonts w:asciiTheme="minorHAnsi" w:hAnsiTheme="minorHAnsi" w:cs="Tahoma"/>
          <w:szCs w:val="20"/>
        </w:rPr>
        <w:t>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BADEE"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63879D24" w:rsidR="000E48B5" w:rsidRPr="003D261E" w:rsidRDefault="000E48B5" w:rsidP="0021592F">
      <w:pPr>
        <w:pStyle w:val="Odstavecseseznamem"/>
        <w:numPr>
          <w:ilvl w:val="0"/>
          <w:numId w:val="68"/>
        </w:numPr>
        <w:suppressAutoHyphens/>
        <w:contextualSpacing w:val="0"/>
        <w:jc w:val="center"/>
        <w:rPr>
          <w:rFonts w:asciiTheme="minorHAnsi" w:hAnsiTheme="minorHAnsi"/>
          <w:b/>
        </w:rPr>
      </w:pPr>
    </w:p>
    <w:p w14:paraId="3DD9020E" w14:textId="77777777" w:rsidR="000E48B5" w:rsidRPr="0021592F" w:rsidRDefault="000E48B5" w:rsidP="000E48B5">
      <w:pPr>
        <w:keepNext/>
        <w:spacing w:after="120"/>
        <w:ind w:right="-23"/>
        <w:jc w:val="center"/>
        <w:outlineLvl w:val="6"/>
        <w:rPr>
          <w:rFonts w:asciiTheme="minorHAnsi" w:hAnsiTheme="minorHAnsi" w:cs="Arial"/>
          <w:b/>
          <w:sz w:val="20"/>
        </w:rPr>
      </w:pPr>
      <w:r w:rsidRPr="0021592F">
        <w:rPr>
          <w:rFonts w:asciiTheme="minorHAnsi" w:hAnsiTheme="minorHAnsi" w:cs="Arial"/>
          <w:b/>
          <w:sz w:val="20"/>
        </w:rPr>
        <w:t>Přechod vlastnického práva</w:t>
      </w:r>
    </w:p>
    <w:p w14:paraId="49309AF1" w14:textId="77777777"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 xml:space="preserve">Vlastnické právo k předmětu díla přechází ze zhotovitele na objednatele dnem podpisu protokolu o předání a převzetí předmětu díla oběma smluvními stranami. </w:t>
      </w:r>
    </w:p>
    <w:p w14:paraId="00870633" w14:textId="77777777" w:rsidR="000E48B5" w:rsidRPr="000E48B5" w:rsidRDefault="000E48B5" w:rsidP="000E48B5">
      <w:pPr>
        <w:tabs>
          <w:tab w:val="left" w:pos="709"/>
        </w:tabs>
        <w:jc w:val="both"/>
        <w:rPr>
          <w:rFonts w:asciiTheme="minorHAnsi" w:hAnsiTheme="minorHAnsi"/>
          <w:szCs w:val="20"/>
        </w:rPr>
      </w:pPr>
    </w:p>
    <w:p w14:paraId="57059390" w14:textId="0B695809" w:rsidR="000E48B5" w:rsidRPr="0021592F" w:rsidRDefault="000E48B5" w:rsidP="0021592F">
      <w:pPr>
        <w:pStyle w:val="Odstavecseseznamem"/>
        <w:numPr>
          <w:ilvl w:val="0"/>
          <w:numId w:val="68"/>
        </w:numPr>
        <w:suppressAutoHyphens/>
        <w:contextualSpacing w:val="0"/>
        <w:jc w:val="center"/>
        <w:rPr>
          <w:rFonts w:asciiTheme="minorHAnsi" w:hAnsiTheme="minorHAnsi"/>
          <w:b/>
        </w:rPr>
      </w:pPr>
    </w:p>
    <w:p w14:paraId="0BFAEEA2" w14:textId="77777777" w:rsidR="000E48B5" w:rsidRPr="0021592F" w:rsidRDefault="000E48B5" w:rsidP="000E48B5">
      <w:pPr>
        <w:keepNext/>
        <w:spacing w:after="120"/>
        <w:ind w:right="-23"/>
        <w:jc w:val="center"/>
        <w:outlineLvl w:val="6"/>
        <w:rPr>
          <w:rFonts w:asciiTheme="minorHAnsi" w:hAnsiTheme="minorHAnsi" w:cs="Arial"/>
          <w:b/>
          <w:sz w:val="20"/>
        </w:rPr>
      </w:pPr>
      <w:r w:rsidRPr="0021592F">
        <w:rPr>
          <w:rFonts w:asciiTheme="minorHAnsi" w:hAnsiTheme="minorHAnsi" w:cs="Arial"/>
          <w:b/>
          <w:sz w:val="20"/>
        </w:rPr>
        <w:t>Předání a převzetí předmětu díla</w:t>
      </w:r>
    </w:p>
    <w:p w14:paraId="2F792289" w14:textId="4B9D58A5"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Zhotovitel je povinen včas objednatele vyzvat k převzetí předmětu díla. Důkazní břemeno prokazující vyzvání objednatele k převzetí předmětu díla a jeho včasnost nese zhotovitel.</w:t>
      </w:r>
    </w:p>
    <w:p w14:paraId="552EAB93" w14:textId="770B9A12"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Předmět díla je považován za řádně provedený tehdy, došlo-li k včasnému plnění bez vad a nedodělků a došlo-li k předání předmětu díla objednateli v místě plnění.</w:t>
      </w:r>
    </w:p>
    <w:p w14:paraId="7A78FD04" w14:textId="041FF0C8"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 </w:t>
      </w:r>
    </w:p>
    <w:p w14:paraId="0E8F81C2" w14:textId="14FE9367"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lastRenderedPageBreak/>
        <w:t>Dílo se považuje za dokončené v okamžiku podpisu protokolu o předání a převzetí předmětu díla oběma smluvními stranami. Předpokladem pro vystavení protokolu o předání a převzetí předmětu díla je řádné splnění díla dle článku I</w:t>
      </w:r>
      <w:r w:rsidR="0021592F">
        <w:rPr>
          <w:rFonts w:asciiTheme="minorHAnsi" w:hAnsiTheme="minorHAnsi" w:cs="Tahoma"/>
          <w:szCs w:val="20"/>
        </w:rPr>
        <w:t>I</w:t>
      </w:r>
      <w:r w:rsidRPr="0021592F">
        <w:rPr>
          <w:rFonts w:asciiTheme="minorHAnsi" w:hAnsiTheme="minorHAnsi" w:cs="Tahoma"/>
          <w:szCs w:val="20"/>
        </w:rPr>
        <w:t xml:space="preserve">. této smlouvy. </w:t>
      </w:r>
    </w:p>
    <w:p w14:paraId="11019C21" w14:textId="77777777" w:rsidR="00BB451A" w:rsidRPr="00025B8C" w:rsidRDefault="00BB451A" w:rsidP="000E48B5">
      <w:pPr>
        <w:numPr>
          <w:ilvl w:val="12"/>
          <w:numId w:val="0"/>
        </w:numPr>
        <w:ind w:left="426" w:right="-24" w:hanging="426"/>
        <w:jc w:val="both"/>
        <w:rPr>
          <w:rFonts w:asciiTheme="minorHAnsi" w:hAnsiTheme="minorHAnsi"/>
          <w:sz w:val="22"/>
          <w:szCs w:val="22"/>
        </w:rPr>
      </w:pPr>
    </w:p>
    <w:p w14:paraId="1438B058" w14:textId="42A244B0" w:rsidR="000E48B5" w:rsidRPr="003D261E" w:rsidRDefault="000E48B5" w:rsidP="0021592F">
      <w:pPr>
        <w:pStyle w:val="Odstavecseseznamem"/>
        <w:numPr>
          <w:ilvl w:val="0"/>
          <w:numId w:val="68"/>
        </w:numPr>
        <w:suppressAutoHyphens/>
        <w:contextualSpacing w:val="0"/>
        <w:jc w:val="center"/>
        <w:rPr>
          <w:rFonts w:asciiTheme="minorHAnsi" w:hAnsiTheme="minorHAnsi"/>
          <w:b/>
        </w:rPr>
      </w:pPr>
    </w:p>
    <w:p w14:paraId="5DD1C9A1" w14:textId="77777777" w:rsidR="000E48B5" w:rsidRPr="0021592F" w:rsidRDefault="000E48B5" w:rsidP="000E48B5">
      <w:pPr>
        <w:keepNext/>
        <w:spacing w:after="120"/>
        <w:ind w:right="-23"/>
        <w:jc w:val="center"/>
        <w:outlineLvl w:val="6"/>
        <w:rPr>
          <w:rFonts w:asciiTheme="minorHAnsi" w:hAnsiTheme="minorHAnsi" w:cs="Arial"/>
          <w:b/>
          <w:sz w:val="20"/>
        </w:rPr>
      </w:pPr>
      <w:r w:rsidRPr="0021592F">
        <w:rPr>
          <w:rFonts w:asciiTheme="minorHAnsi" w:hAnsiTheme="minorHAnsi" w:cs="Arial"/>
          <w:b/>
          <w:sz w:val="20"/>
        </w:rPr>
        <w:t>Změny, vícepráce</w:t>
      </w:r>
    </w:p>
    <w:p w14:paraId="5430FF07" w14:textId="37850DB8"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21592F">
        <w:rPr>
          <w:rFonts w:asciiTheme="minorHAnsi" w:hAnsiTheme="minorHAnsi" w:cs="Tahoma"/>
          <w:szCs w:val="20"/>
        </w:rPr>
        <w:t>V průběhu provádění díla může objednatel písemným oznámením zhotoviteli vyžádat změny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592B2A1C"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Schválení dokumentu změny díla objednatelem a vyslovení souhlasu s provedením změn bude provedeno takto:</w:t>
      </w:r>
    </w:p>
    <w:p w14:paraId="07606245" w14:textId="77777777"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0901BE34"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t>Zhotovitel připraví a bude uchovávat záznam zachycující povahu, náklady a stav všech změn, jak navrhovaných tak i schválených.</w:t>
      </w:r>
    </w:p>
    <w:p w14:paraId="61AD871B" w14:textId="3B1CA8DC" w:rsidR="000E48B5" w:rsidRPr="0021592F" w:rsidRDefault="000E48B5" w:rsidP="0021592F">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21592F">
        <w:rPr>
          <w:rFonts w:asciiTheme="minorHAnsi" w:hAnsiTheme="minorHAnsi" w:cs="Tahoma"/>
          <w:szCs w:val="20"/>
        </w:rPr>
        <w:fldChar w:fldCharType="begin"/>
      </w:r>
      <w:r w:rsidRPr="0021592F">
        <w:rPr>
          <w:rFonts w:asciiTheme="minorHAnsi" w:hAnsiTheme="minorHAnsi" w:cs="Tahoma"/>
          <w:szCs w:val="20"/>
        </w:rPr>
        <w:instrText xml:space="preserve">\autoČÍsldes </w:instrText>
      </w:r>
      <w:r w:rsidRPr="0021592F">
        <w:rPr>
          <w:rFonts w:asciiTheme="minorHAnsi" w:hAnsiTheme="minorHAnsi" w:cs="Tahoma"/>
          <w:szCs w:val="20"/>
        </w:rPr>
        <w:fldChar w:fldCharType="end"/>
      </w:r>
      <w:r w:rsidRPr="0021592F">
        <w:rPr>
          <w:rFonts w:asciiTheme="minorHAnsi" w:hAnsiTheme="minorHAnsi" w:cs="Tahoma"/>
          <w:szCs w:val="20"/>
        </w:rPr>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1D64C7B6" w14:textId="77777777" w:rsidR="007E2E46" w:rsidRPr="000E48B5" w:rsidRDefault="007E2E46" w:rsidP="000E48B5">
      <w:pPr>
        <w:tabs>
          <w:tab w:val="left" w:pos="709"/>
        </w:tabs>
        <w:jc w:val="both"/>
        <w:rPr>
          <w:rFonts w:asciiTheme="minorHAnsi" w:hAnsiTheme="minorHAnsi"/>
          <w:szCs w:val="20"/>
        </w:rPr>
      </w:pPr>
    </w:p>
    <w:p w14:paraId="6A792909" w14:textId="77B1EC85" w:rsidR="000E48B5" w:rsidRPr="003D261E" w:rsidRDefault="000E48B5" w:rsidP="0021592F">
      <w:pPr>
        <w:pStyle w:val="Odstavecseseznamem"/>
        <w:numPr>
          <w:ilvl w:val="0"/>
          <w:numId w:val="68"/>
        </w:numPr>
        <w:suppressAutoHyphens/>
        <w:contextualSpacing w:val="0"/>
        <w:jc w:val="center"/>
        <w:rPr>
          <w:rFonts w:asciiTheme="minorHAnsi" w:hAnsiTheme="minorHAnsi"/>
          <w:b/>
        </w:rPr>
      </w:pPr>
    </w:p>
    <w:p w14:paraId="452830D6" w14:textId="77777777" w:rsidR="000E48B5" w:rsidRPr="003D3574" w:rsidRDefault="000E48B5" w:rsidP="000E48B5">
      <w:pPr>
        <w:keepNext/>
        <w:spacing w:after="120"/>
        <w:ind w:right="-23"/>
        <w:jc w:val="center"/>
        <w:outlineLvl w:val="6"/>
        <w:rPr>
          <w:rFonts w:asciiTheme="minorHAnsi" w:hAnsiTheme="minorHAnsi" w:cs="Arial"/>
          <w:b/>
          <w:sz w:val="20"/>
        </w:rPr>
      </w:pPr>
      <w:r w:rsidRPr="003D3574">
        <w:rPr>
          <w:rFonts w:asciiTheme="minorHAnsi" w:hAnsiTheme="minorHAnsi" w:cs="Arial"/>
          <w:b/>
          <w:sz w:val="20"/>
        </w:rPr>
        <w:t>Ostatní ujednání</w:t>
      </w:r>
    </w:p>
    <w:p w14:paraId="5C2F89AD" w14:textId="337AFB38" w:rsidR="000E48B5"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r w:rsidR="00AA23F8" w:rsidRPr="003D3574">
        <w:rPr>
          <w:rFonts w:asciiTheme="minorHAnsi" w:hAnsiTheme="minorHAnsi" w:cs="Tahoma"/>
          <w:szCs w:val="20"/>
        </w:rPr>
        <w:t xml:space="preserve"> </w:t>
      </w:r>
    </w:p>
    <w:p w14:paraId="6F45FC9D" w14:textId="023D516E" w:rsidR="000E48B5" w:rsidRPr="003D3574" w:rsidRDefault="000505A7"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 xml:space="preserve">Zhotovitel se zavazuje, dílo bude provedeno osobou oprávněnou dle § 5 odst. 3 písm. a) zákona č. 360/1992 Sb., o výkonu povolání autorizovaných inženýrů a techniků činných ve výstavbě, ve znění pozdějších předpisů (autorizace v oboru pozemní stavby).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2A0C3718" w:rsidR="000E48B5" w:rsidRPr="003D261E" w:rsidRDefault="000E48B5" w:rsidP="003D3574">
      <w:pPr>
        <w:pStyle w:val="Odstavecseseznamem"/>
        <w:numPr>
          <w:ilvl w:val="0"/>
          <w:numId w:val="68"/>
        </w:numPr>
        <w:suppressAutoHyphens/>
        <w:contextualSpacing w:val="0"/>
        <w:jc w:val="center"/>
        <w:rPr>
          <w:rFonts w:asciiTheme="minorHAnsi" w:hAnsiTheme="minorHAnsi"/>
          <w:b/>
        </w:rPr>
      </w:pPr>
    </w:p>
    <w:p w14:paraId="713E5313" w14:textId="77777777" w:rsidR="000E48B5" w:rsidRPr="003D3574" w:rsidRDefault="000E48B5" w:rsidP="000E48B5">
      <w:pPr>
        <w:keepNext/>
        <w:spacing w:after="120"/>
        <w:ind w:right="-23"/>
        <w:jc w:val="center"/>
        <w:outlineLvl w:val="6"/>
        <w:rPr>
          <w:rFonts w:asciiTheme="minorHAnsi" w:hAnsiTheme="minorHAnsi" w:cs="Arial"/>
          <w:b/>
          <w:sz w:val="20"/>
        </w:rPr>
      </w:pPr>
      <w:r w:rsidRPr="003D3574">
        <w:rPr>
          <w:rFonts w:asciiTheme="minorHAnsi" w:hAnsiTheme="minorHAnsi" w:cs="Arial"/>
          <w:b/>
          <w:sz w:val="20"/>
        </w:rPr>
        <w:t>Náhrada škody</w:t>
      </w:r>
    </w:p>
    <w:p w14:paraId="244A5D0A" w14:textId="7CB3784E" w:rsidR="000E48B5"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521A281C" w:rsidR="00412165" w:rsidRPr="003D3574" w:rsidRDefault="0041216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Zhotovitel se zavazuje mít po dobu plnění předmětu smlouvy uzavřeno pojištění odpovědnosti za škodu způsobenou jeho činností v důsledku provádění díla objednateli, případně třetím osobám, a to ve výši pojistného plnění min</w:t>
      </w:r>
      <w:r w:rsidRPr="002354A3">
        <w:rPr>
          <w:rFonts w:asciiTheme="minorHAnsi" w:hAnsiTheme="minorHAnsi" w:cs="Tahoma"/>
          <w:b/>
          <w:bCs/>
          <w:szCs w:val="20"/>
        </w:rPr>
        <w:t xml:space="preserve">. </w:t>
      </w:r>
      <w:r w:rsidR="002354A3" w:rsidRPr="002354A3">
        <w:rPr>
          <w:rFonts w:asciiTheme="minorHAnsi" w:hAnsiTheme="minorHAnsi" w:cs="Tahoma"/>
          <w:b/>
          <w:bCs/>
          <w:szCs w:val="20"/>
        </w:rPr>
        <w:t>4</w:t>
      </w:r>
      <w:r w:rsidR="002354A3">
        <w:rPr>
          <w:rFonts w:asciiTheme="minorHAnsi" w:hAnsiTheme="minorHAnsi" w:cs="Tahoma"/>
          <w:b/>
          <w:bCs/>
          <w:szCs w:val="20"/>
        </w:rPr>
        <w:t xml:space="preserve"> </w:t>
      </w:r>
      <w:r w:rsidRPr="002354A3">
        <w:rPr>
          <w:rFonts w:asciiTheme="minorHAnsi" w:hAnsiTheme="minorHAnsi" w:cs="Tahoma"/>
          <w:b/>
          <w:bCs/>
          <w:szCs w:val="20"/>
        </w:rPr>
        <w:t>mil. Kč</w:t>
      </w:r>
      <w:r w:rsidRPr="003D3574">
        <w:rPr>
          <w:rFonts w:asciiTheme="minorHAnsi" w:hAnsiTheme="minorHAnsi" w:cs="Tahoma"/>
          <w:szCs w:val="20"/>
        </w:rPr>
        <w:t>.  Smlouvu týkající se předmětného pojištění (úředně ověřenou kopii</w:t>
      </w:r>
      <w:r w:rsidR="000505A7" w:rsidRPr="003D3574">
        <w:rPr>
          <w:rFonts w:asciiTheme="minorHAnsi" w:hAnsiTheme="minorHAnsi" w:cs="Tahoma"/>
          <w:szCs w:val="20"/>
        </w:rPr>
        <w:t xml:space="preserve"> nebo pojistný certifikát</w:t>
      </w:r>
      <w:r w:rsidRPr="003D3574">
        <w:rPr>
          <w:rFonts w:asciiTheme="minorHAnsi" w:hAnsiTheme="minorHAnsi" w:cs="Tahoma"/>
          <w:szCs w:val="20"/>
        </w:rPr>
        <w:t>) je zhotovitel povinen předložit objednateli nejpozději do 14 dnů po podpisu této smlouvy poslední smluvní stranou.</w:t>
      </w:r>
    </w:p>
    <w:p w14:paraId="509122AB" w14:textId="77777777" w:rsidR="00412165" w:rsidRDefault="00412165" w:rsidP="000E48B5">
      <w:pPr>
        <w:tabs>
          <w:tab w:val="left" w:pos="709"/>
        </w:tabs>
        <w:jc w:val="both"/>
        <w:rPr>
          <w:rFonts w:asciiTheme="minorHAnsi" w:hAnsiTheme="minorHAnsi"/>
          <w:sz w:val="22"/>
          <w:szCs w:val="22"/>
        </w:rPr>
      </w:pP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5C3C6854" w:rsidR="000E48B5" w:rsidRPr="003D261E" w:rsidRDefault="000E48B5" w:rsidP="003D3574">
      <w:pPr>
        <w:pStyle w:val="Odstavecseseznamem"/>
        <w:numPr>
          <w:ilvl w:val="0"/>
          <w:numId w:val="68"/>
        </w:numPr>
        <w:suppressAutoHyphens/>
        <w:contextualSpacing w:val="0"/>
        <w:jc w:val="center"/>
        <w:rPr>
          <w:rFonts w:asciiTheme="minorHAnsi" w:hAnsiTheme="minorHAnsi"/>
          <w:b/>
        </w:rPr>
      </w:pPr>
    </w:p>
    <w:p w14:paraId="633B594F" w14:textId="77777777" w:rsidR="000E48B5" w:rsidRPr="003D3574" w:rsidRDefault="000E48B5" w:rsidP="000E48B5">
      <w:pPr>
        <w:keepNext/>
        <w:spacing w:after="120"/>
        <w:ind w:right="-23"/>
        <w:jc w:val="center"/>
        <w:outlineLvl w:val="6"/>
        <w:rPr>
          <w:rFonts w:asciiTheme="minorHAnsi" w:hAnsiTheme="minorHAnsi" w:cs="Arial"/>
          <w:b/>
          <w:sz w:val="20"/>
        </w:rPr>
      </w:pPr>
      <w:r w:rsidRPr="003D3574">
        <w:rPr>
          <w:rFonts w:asciiTheme="minorHAnsi" w:hAnsiTheme="minorHAnsi" w:cs="Arial"/>
          <w:b/>
          <w:sz w:val="20"/>
        </w:rPr>
        <w:t>Licenční ujednání</w:t>
      </w:r>
    </w:p>
    <w:p w14:paraId="76DE1532" w14:textId="2DCA4976" w:rsidR="000E48B5"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w:t>
      </w:r>
      <w:r w:rsidR="00137961" w:rsidRPr="003D3574">
        <w:rPr>
          <w:rFonts w:asciiTheme="minorHAnsi" w:hAnsiTheme="minorHAnsi" w:cs="Tahoma"/>
          <w:szCs w:val="20"/>
        </w:rPr>
        <w:t>zhotovitel</w:t>
      </w:r>
      <w:r w:rsidRPr="003D3574">
        <w:rPr>
          <w:rFonts w:asciiTheme="minorHAnsi" w:hAnsiTheme="minorHAnsi" w:cs="Tahoma"/>
          <w:szCs w:val="20"/>
        </w:rPr>
        <w:t xml:space="preserve">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3D3574">
        <w:rPr>
          <w:rFonts w:asciiTheme="minorHAnsi" w:hAnsiTheme="minorHAnsi" w:cs="Tahoma"/>
          <w:szCs w:val="20"/>
        </w:rPr>
        <w:t>příkladmo</w:t>
      </w:r>
      <w:proofErr w:type="spellEnd"/>
      <w:r w:rsidRPr="003D3574">
        <w:rPr>
          <w:rFonts w:asciiTheme="minorHAnsi" w:hAnsiTheme="minorHAnsi" w:cs="Tahoma"/>
          <w:szCs w:val="20"/>
        </w:rPr>
        <w:t xml:space="preserve"> jsou uvedeny v tomto odstavci, je třeba souhlasu zhotovitele.</w:t>
      </w:r>
    </w:p>
    <w:p w14:paraId="6FB03B72" w14:textId="77777777" w:rsidR="000E48B5" w:rsidRPr="000E48B5" w:rsidRDefault="000E48B5" w:rsidP="000E48B5">
      <w:pPr>
        <w:tabs>
          <w:tab w:val="left" w:pos="709"/>
        </w:tabs>
        <w:jc w:val="both"/>
        <w:rPr>
          <w:rFonts w:asciiTheme="minorHAnsi" w:hAnsiTheme="minorHAnsi"/>
          <w:szCs w:val="20"/>
        </w:rPr>
      </w:pPr>
    </w:p>
    <w:p w14:paraId="56E5818B" w14:textId="0154AE97" w:rsidR="000E48B5" w:rsidRPr="003D261E" w:rsidRDefault="000E48B5" w:rsidP="003D3574">
      <w:pPr>
        <w:pStyle w:val="Odstavecseseznamem"/>
        <w:numPr>
          <w:ilvl w:val="0"/>
          <w:numId w:val="68"/>
        </w:numPr>
        <w:suppressAutoHyphens/>
        <w:contextualSpacing w:val="0"/>
        <w:jc w:val="center"/>
        <w:rPr>
          <w:rFonts w:asciiTheme="minorHAnsi" w:hAnsiTheme="minorHAnsi"/>
          <w:b/>
        </w:rPr>
      </w:pPr>
    </w:p>
    <w:p w14:paraId="3DA79886" w14:textId="77777777" w:rsidR="000E48B5" w:rsidRPr="003D3574" w:rsidRDefault="000E48B5" w:rsidP="000E48B5">
      <w:pPr>
        <w:keepNext/>
        <w:spacing w:after="120"/>
        <w:ind w:right="-23"/>
        <w:jc w:val="center"/>
        <w:outlineLvl w:val="6"/>
        <w:rPr>
          <w:rFonts w:asciiTheme="minorHAnsi" w:hAnsiTheme="minorHAnsi" w:cs="Arial"/>
          <w:b/>
          <w:sz w:val="20"/>
        </w:rPr>
      </w:pPr>
      <w:r w:rsidRPr="003D3574">
        <w:rPr>
          <w:rFonts w:asciiTheme="minorHAnsi" w:hAnsiTheme="minorHAnsi" w:cs="Arial"/>
          <w:b/>
          <w:sz w:val="20"/>
        </w:rPr>
        <w:t>Závěrečná ustanovení</w:t>
      </w:r>
    </w:p>
    <w:p w14:paraId="365C655D" w14:textId="77777777" w:rsid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Změny této smlouvy lze činit pouze písemně, a to formou vzestupně číslovaných dodatků, odsouhlasených a podepsaných oprávněnými zástupci obou smluvních stran. To neplatí v případě údajů uvedených v záhlaví smlou</w:t>
      </w:r>
      <w:r w:rsidR="003D3574" w:rsidRPr="003D3574">
        <w:rPr>
          <w:rFonts w:asciiTheme="minorHAnsi" w:hAnsiTheme="minorHAnsi" w:cs="Tahoma"/>
          <w:szCs w:val="20"/>
        </w:rPr>
        <w:t>vy (t</w:t>
      </w:r>
      <w:r w:rsidRPr="003D3574">
        <w:rPr>
          <w:rFonts w:asciiTheme="minorHAnsi" w:hAnsiTheme="minorHAnsi" w:cs="Tahoma"/>
          <w:szCs w:val="20"/>
        </w:rPr>
        <w:t>j. evidenčních označení smlouvy, kontaktních údajů smluvních stran nebo osob jednajících v technických záležitostech). Takové změny je ta smluvní strana, u které nastaly, povinna prokazatelně oznámit druhé, a to nejpozději do 10 dnů ode dne, kdy k pří</w:t>
      </w:r>
      <w:r w:rsidR="003D3574">
        <w:rPr>
          <w:rFonts w:asciiTheme="minorHAnsi" w:hAnsiTheme="minorHAnsi" w:cs="Tahoma"/>
          <w:szCs w:val="20"/>
        </w:rPr>
        <w:t>slušné změně došlo.</w:t>
      </w:r>
    </w:p>
    <w:p w14:paraId="13A747F8" w14:textId="11A974C8" w:rsidR="000E48B5" w:rsidRPr="003D3574" w:rsidRDefault="003D3574"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Pr>
          <w:rFonts w:asciiTheme="minorHAnsi" w:hAnsiTheme="minorHAnsi" w:cs="Tahoma"/>
          <w:szCs w:val="20"/>
        </w:rPr>
        <w:t>T</w:t>
      </w:r>
      <w:r w:rsidR="000E48B5" w:rsidRPr="003D3574">
        <w:rPr>
          <w:rFonts w:asciiTheme="minorHAnsi" w:hAnsiTheme="minorHAnsi" w:cs="Tahoma"/>
          <w:szCs w:val="20"/>
        </w:rPr>
        <w:t>ato smlouva nabývá platnosti dnem podpisu oprávněnými zástupci obou smluvních stran</w:t>
      </w:r>
      <w:r w:rsidR="00E74CD3" w:rsidRPr="003D3574">
        <w:rPr>
          <w:rFonts w:asciiTheme="minorHAnsi" w:hAnsiTheme="minorHAnsi" w:cs="Tahoma"/>
          <w:szCs w:val="20"/>
        </w:rPr>
        <w:t xml:space="preserve"> a účinnosti zveřejněním v registru smluv v souladu se zákonem č. 340/2015 Sb., o registru smluv, v platném znění.</w:t>
      </w:r>
    </w:p>
    <w:p w14:paraId="1380BADB" w14:textId="2AE7EC88" w:rsidR="000E48B5"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S ohledem na povinnosti plynoucí ze zákona č. 340/2015 Sb.,</w:t>
      </w:r>
      <w:r w:rsidR="00CF0AF1" w:rsidRPr="003D3574">
        <w:rPr>
          <w:rFonts w:asciiTheme="minorHAnsi" w:hAnsiTheme="minorHAnsi" w:cs="Tahoma"/>
          <w:szCs w:val="20"/>
        </w:rPr>
        <w:t xml:space="preserve"> </w:t>
      </w:r>
      <w:r w:rsidRPr="003D3574">
        <w:rPr>
          <w:rFonts w:asciiTheme="minorHAnsi" w:hAnsiTheme="minorHAnsi" w:cs="Tahoma"/>
          <w:szCs w:val="20"/>
        </w:rPr>
        <w:t>o registru smluv</w:t>
      </w:r>
      <w:r w:rsidR="00CF0AF1" w:rsidRPr="003D3574">
        <w:rPr>
          <w:rFonts w:asciiTheme="minorHAnsi" w:hAnsiTheme="minorHAnsi" w:cs="Tahoma"/>
          <w:szCs w:val="20"/>
        </w:rPr>
        <w:t xml:space="preserve"> v platném znění,</w:t>
      </w:r>
      <w:r w:rsidR="003D3574">
        <w:rPr>
          <w:rFonts w:asciiTheme="minorHAnsi" w:hAnsiTheme="minorHAnsi" w:cs="Tahoma"/>
          <w:szCs w:val="20"/>
        </w:rPr>
        <w:t xml:space="preserve"> </w:t>
      </w:r>
      <w:r w:rsidRPr="003D3574">
        <w:rPr>
          <w:rFonts w:asciiTheme="minorHAnsi" w:hAnsiTheme="minorHAnsi" w:cs="Tahoma"/>
          <w:szCs w:val="20"/>
        </w:rPr>
        <w:t>ujednávají smluvní strany následující:</w:t>
      </w:r>
    </w:p>
    <w:p w14:paraId="4C8D1B28" w14:textId="18F7151F" w:rsidR="000E48B5" w:rsidRPr="003D3574" w:rsidRDefault="003D3574" w:rsidP="003D3574">
      <w:pPr>
        <w:pStyle w:val="Odstavecseseznamem"/>
        <w:numPr>
          <w:ilvl w:val="0"/>
          <w:numId w:val="60"/>
        </w:numPr>
        <w:spacing w:after="60"/>
        <w:jc w:val="both"/>
        <w:rPr>
          <w:rFonts w:asciiTheme="minorHAnsi" w:hAnsiTheme="minorHAnsi" w:cs="Arial"/>
          <w:szCs w:val="22"/>
        </w:rPr>
      </w:pPr>
      <w:r>
        <w:rPr>
          <w:rFonts w:asciiTheme="minorHAnsi" w:hAnsiTheme="minorHAnsi" w:cs="Arial"/>
          <w:szCs w:val="22"/>
        </w:rPr>
        <w:t>o</w:t>
      </w:r>
      <w:r w:rsidR="000E48B5" w:rsidRPr="003D3574">
        <w:rPr>
          <w:rFonts w:asciiTheme="minorHAnsi" w:hAnsiTheme="minorHAnsi" w:cs="Arial"/>
          <w:szCs w:val="22"/>
        </w:rPr>
        <w:t xml:space="preserve">bjednatel odešle tuto smlouvu ke zveřejnění v registru smluv vedeném Ministerstvem vnitra ČR </w:t>
      </w:r>
      <w:r>
        <w:rPr>
          <w:rFonts w:asciiTheme="minorHAnsi" w:hAnsiTheme="minorHAnsi" w:cs="Arial"/>
          <w:szCs w:val="22"/>
        </w:rPr>
        <w:t>bezprostředně po jejím uzavření;</w:t>
      </w:r>
    </w:p>
    <w:p w14:paraId="5C579ED4" w14:textId="419DE3C2" w:rsidR="000E48B5" w:rsidRPr="003D3574" w:rsidRDefault="003D3574" w:rsidP="003D3574">
      <w:pPr>
        <w:pStyle w:val="Odstavecseseznamem"/>
        <w:numPr>
          <w:ilvl w:val="0"/>
          <w:numId w:val="60"/>
        </w:numPr>
        <w:spacing w:after="60"/>
        <w:jc w:val="both"/>
        <w:rPr>
          <w:rFonts w:asciiTheme="minorHAnsi" w:hAnsiTheme="minorHAnsi" w:cs="Arial"/>
          <w:szCs w:val="22"/>
        </w:rPr>
      </w:pPr>
      <w:r>
        <w:rPr>
          <w:rFonts w:asciiTheme="minorHAnsi" w:hAnsiTheme="minorHAnsi" w:cs="Arial"/>
          <w:szCs w:val="22"/>
        </w:rPr>
        <w:t>s</w:t>
      </w:r>
      <w:r w:rsidR="000E48B5" w:rsidRPr="003D3574">
        <w:rPr>
          <w:rFonts w:asciiTheme="minorHAnsi" w:hAnsiTheme="minorHAnsi" w:cs="Arial"/>
          <w:szCs w:val="22"/>
        </w:rPr>
        <w:t>mluvní strany prohlašují, že žádná část smlouvy nenaplňuje znaky obchodního tajemství ve smyslu</w:t>
      </w:r>
      <w:r>
        <w:rPr>
          <w:rFonts w:asciiTheme="minorHAnsi" w:hAnsiTheme="minorHAnsi" w:cs="Arial"/>
          <w:szCs w:val="22"/>
        </w:rPr>
        <w:t xml:space="preserve"> ust. § 504 občanského zákoníku;</w:t>
      </w:r>
    </w:p>
    <w:p w14:paraId="287507EE" w14:textId="25CD01E2" w:rsidR="000E48B5" w:rsidRPr="003D3574" w:rsidRDefault="003D3574" w:rsidP="003D3574">
      <w:pPr>
        <w:pStyle w:val="Odstavecseseznamem"/>
        <w:numPr>
          <w:ilvl w:val="0"/>
          <w:numId w:val="60"/>
        </w:numPr>
        <w:spacing w:after="120"/>
        <w:contextualSpacing w:val="0"/>
        <w:jc w:val="both"/>
        <w:rPr>
          <w:rFonts w:asciiTheme="minorHAnsi" w:hAnsiTheme="minorHAnsi"/>
          <w:szCs w:val="22"/>
        </w:rPr>
      </w:pPr>
      <w:r>
        <w:rPr>
          <w:rFonts w:asciiTheme="minorHAnsi" w:hAnsiTheme="minorHAnsi" w:cs="Arial"/>
          <w:szCs w:val="22"/>
        </w:rPr>
        <w:t>z</w:t>
      </w:r>
      <w:r w:rsidR="000E48B5" w:rsidRPr="003D3574">
        <w:rPr>
          <w:rFonts w:asciiTheme="minorHAnsi" w:hAnsiTheme="minorHAnsi" w:cs="Arial"/>
          <w:szCs w:val="22"/>
        </w:rPr>
        <w:t>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16C9C629" w:rsidR="000E48B5"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Tato smlouva je vyhotovena v</w:t>
      </w:r>
      <w:r w:rsidR="00E76108" w:rsidRPr="003D3574">
        <w:rPr>
          <w:rFonts w:asciiTheme="minorHAnsi" w:hAnsiTheme="minorHAnsi" w:cs="Tahoma"/>
          <w:szCs w:val="20"/>
        </w:rPr>
        <w:t>e</w:t>
      </w:r>
      <w:r w:rsidRPr="003D3574">
        <w:rPr>
          <w:rFonts w:asciiTheme="minorHAnsi" w:hAnsiTheme="minorHAnsi" w:cs="Tahoma"/>
          <w:szCs w:val="20"/>
        </w:rPr>
        <w:t> </w:t>
      </w:r>
      <w:r w:rsidR="00E76108" w:rsidRPr="003D3574">
        <w:rPr>
          <w:rFonts w:asciiTheme="minorHAnsi" w:hAnsiTheme="minorHAnsi" w:cs="Tahoma"/>
          <w:szCs w:val="20"/>
        </w:rPr>
        <w:t xml:space="preserve">dvou </w:t>
      </w:r>
      <w:r w:rsidRPr="003D3574">
        <w:rPr>
          <w:rFonts w:asciiTheme="minorHAnsi" w:hAnsiTheme="minorHAnsi" w:cs="Tahoma"/>
          <w:szCs w:val="20"/>
        </w:rPr>
        <w:t>stejnopisech</w:t>
      </w:r>
      <w:r w:rsidR="00875796" w:rsidRPr="003D3574">
        <w:rPr>
          <w:rFonts w:asciiTheme="minorHAnsi" w:hAnsiTheme="minorHAnsi" w:cs="Tahoma"/>
          <w:szCs w:val="20"/>
        </w:rPr>
        <w:t xml:space="preserve"> s platností originálu</w:t>
      </w:r>
      <w:r w:rsidRPr="003D3574">
        <w:rPr>
          <w:rFonts w:asciiTheme="minorHAnsi" w:hAnsiTheme="minorHAnsi" w:cs="Tahoma"/>
          <w:szCs w:val="20"/>
        </w:rPr>
        <w:t xml:space="preserve">, z nichž </w:t>
      </w:r>
      <w:r w:rsidR="007369E9" w:rsidRPr="003D3574">
        <w:rPr>
          <w:rFonts w:asciiTheme="minorHAnsi" w:hAnsiTheme="minorHAnsi" w:cs="Tahoma"/>
          <w:szCs w:val="20"/>
        </w:rPr>
        <w:t xml:space="preserve">jeden stejnopis obdrží </w:t>
      </w:r>
      <w:r w:rsidRPr="003D3574">
        <w:rPr>
          <w:rFonts w:asciiTheme="minorHAnsi" w:hAnsiTheme="minorHAnsi" w:cs="Tahoma"/>
          <w:szCs w:val="20"/>
        </w:rPr>
        <w:t xml:space="preserve">objednatel </w:t>
      </w:r>
      <w:r w:rsidR="007369E9" w:rsidRPr="003D3574">
        <w:rPr>
          <w:rFonts w:asciiTheme="minorHAnsi" w:hAnsiTheme="minorHAnsi" w:cs="Tahoma"/>
          <w:szCs w:val="20"/>
        </w:rPr>
        <w:t xml:space="preserve">a jeden stejnopis </w:t>
      </w:r>
      <w:r w:rsidRPr="003D3574">
        <w:rPr>
          <w:rFonts w:asciiTheme="minorHAnsi" w:hAnsiTheme="minorHAnsi" w:cs="Tahoma"/>
          <w:szCs w:val="20"/>
        </w:rPr>
        <w:t>obdrží zhotovitel</w:t>
      </w:r>
      <w:r w:rsidR="007369E9" w:rsidRPr="003D3574">
        <w:rPr>
          <w:rFonts w:asciiTheme="minorHAnsi" w:hAnsiTheme="minorHAnsi" w:cs="Tahoma"/>
          <w:szCs w:val="20"/>
        </w:rPr>
        <w:t>.</w:t>
      </w:r>
    </w:p>
    <w:p w14:paraId="1A904678" w14:textId="3EF7B986" w:rsidR="009031F0" w:rsidRPr="003D3574" w:rsidRDefault="000E48B5" w:rsidP="003D3574">
      <w:pPr>
        <w:pStyle w:val="Odstavecseseznamem"/>
        <w:numPr>
          <w:ilvl w:val="1"/>
          <w:numId w:val="68"/>
        </w:numPr>
        <w:suppressAutoHyphens/>
        <w:spacing w:after="120"/>
        <w:ind w:left="567" w:hanging="567"/>
        <w:contextualSpacing w:val="0"/>
        <w:jc w:val="both"/>
        <w:rPr>
          <w:rFonts w:asciiTheme="minorHAnsi" w:hAnsiTheme="minorHAnsi" w:cs="Tahoma"/>
          <w:szCs w:val="20"/>
        </w:rPr>
      </w:pPr>
      <w:r w:rsidRPr="003D3574">
        <w:rPr>
          <w:rFonts w:asciiTheme="minorHAnsi" w:hAnsiTheme="minorHAnsi" w:cs="Tahoma"/>
          <w:szCs w:val="20"/>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704CEFBA" w14:textId="77777777" w:rsidR="003D3574" w:rsidRDefault="003D3574" w:rsidP="003D3574">
      <w:pPr>
        <w:pStyle w:val="Odstavecseseznamem"/>
        <w:ind w:left="360"/>
        <w:jc w:val="both"/>
        <w:rPr>
          <w:rFonts w:asciiTheme="minorHAnsi" w:hAnsiTheme="minorHAnsi" w:cs="Tahoma"/>
          <w:szCs w:val="20"/>
        </w:rPr>
      </w:pPr>
    </w:p>
    <w:p w14:paraId="53CDB636" w14:textId="77777777" w:rsidR="003D3574" w:rsidRPr="003D3574" w:rsidRDefault="003D3574" w:rsidP="003D3574">
      <w:pPr>
        <w:pStyle w:val="Odstavecseseznamem"/>
        <w:ind w:left="360"/>
        <w:jc w:val="both"/>
        <w:rPr>
          <w:rFonts w:asciiTheme="minorHAnsi" w:hAnsiTheme="minorHAnsi" w:cs="Tahoma"/>
          <w:szCs w:val="20"/>
        </w:rPr>
      </w:pPr>
    </w:p>
    <w:tbl>
      <w:tblPr>
        <w:tblW w:w="0" w:type="auto"/>
        <w:tblLook w:val="00A0" w:firstRow="1" w:lastRow="0" w:firstColumn="1" w:lastColumn="0" w:noHBand="0" w:noVBand="0"/>
      </w:tblPr>
      <w:tblGrid>
        <w:gridCol w:w="4219"/>
        <w:gridCol w:w="1134"/>
        <w:gridCol w:w="3859"/>
      </w:tblGrid>
      <w:tr w:rsidR="003D3574" w:rsidRPr="002009EE" w14:paraId="5EB1A2B1" w14:textId="77777777" w:rsidTr="005C377D">
        <w:tc>
          <w:tcPr>
            <w:tcW w:w="4219" w:type="dxa"/>
          </w:tcPr>
          <w:p w14:paraId="5295A0CA" w14:textId="77777777" w:rsidR="003D3574" w:rsidRPr="002009EE" w:rsidRDefault="003D3574" w:rsidP="005C377D">
            <w:pPr>
              <w:pStyle w:val="Normlnweb"/>
              <w:spacing w:line="276" w:lineRule="auto"/>
              <w:jc w:val="both"/>
              <w:rPr>
                <w:rFonts w:ascii="Calibri" w:hAnsi="Calibri" w:cs="Tahoma"/>
                <w:sz w:val="20"/>
                <w:szCs w:val="20"/>
              </w:rPr>
            </w:pPr>
            <w:r w:rsidRPr="002009EE">
              <w:rPr>
                <w:rFonts w:ascii="Calibri" w:hAnsi="Calibri" w:cs="Tahoma"/>
                <w:sz w:val="20"/>
                <w:szCs w:val="20"/>
              </w:rPr>
              <w:t>V</w:t>
            </w:r>
            <w:r>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514646B7" w14:textId="77777777" w:rsidR="003D3574" w:rsidRPr="002009EE" w:rsidRDefault="003D3574" w:rsidP="005C377D">
            <w:pPr>
              <w:pStyle w:val="Normlnweb"/>
              <w:spacing w:line="276" w:lineRule="auto"/>
              <w:jc w:val="both"/>
              <w:rPr>
                <w:rFonts w:ascii="Calibri" w:hAnsi="Calibri" w:cs="Tahoma"/>
                <w:sz w:val="20"/>
                <w:szCs w:val="20"/>
              </w:rPr>
            </w:pPr>
          </w:p>
        </w:tc>
        <w:tc>
          <w:tcPr>
            <w:tcW w:w="3859" w:type="dxa"/>
          </w:tcPr>
          <w:p w14:paraId="1013B273" w14:textId="77777777" w:rsidR="003D3574" w:rsidRPr="002009EE" w:rsidRDefault="003D3574" w:rsidP="005C377D">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3D3574" w:rsidRPr="002009EE" w14:paraId="41D58078" w14:textId="77777777" w:rsidTr="005C377D">
        <w:trPr>
          <w:trHeight w:val="1588"/>
        </w:trPr>
        <w:tc>
          <w:tcPr>
            <w:tcW w:w="4219" w:type="dxa"/>
            <w:tcBorders>
              <w:bottom w:val="single" w:sz="4" w:space="0" w:color="auto"/>
            </w:tcBorders>
          </w:tcPr>
          <w:p w14:paraId="5FBB53FD" w14:textId="77777777" w:rsidR="003D3574" w:rsidRPr="002009EE" w:rsidRDefault="003D3574" w:rsidP="005C377D">
            <w:pPr>
              <w:pStyle w:val="Normlnweb"/>
              <w:spacing w:line="276" w:lineRule="auto"/>
              <w:jc w:val="both"/>
              <w:rPr>
                <w:rFonts w:ascii="Calibri" w:hAnsi="Calibri" w:cs="Tahoma"/>
                <w:sz w:val="20"/>
                <w:szCs w:val="20"/>
              </w:rPr>
            </w:pPr>
          </w:p>
          <w:p w14:paraId="3091FC22" w14:textId="77777777" w:rsidR="003D3574" w:rsidRPr="002009EE" w:rsidRDefault="003D3574" w:rsidP="005C377D">
            <w:pPr>
              <w:pStyle w:val="Normlnweb"/>
              <w:spacing w:line="276" w:lineRule="auto"/>
              <w:jc w:val="both"/>
              <w:rPr>
                <w:rFonts w:ascii="Calibri" w:hAnsi="Calibri" w:cs="Tahoma"/>
                <w:sz w:val="20"/>
                <w:szCs w:val="20"/>
              </w:rPr>
            </w:pPr>
          </w:p>
        </w:tc>
        <w:tc>
          <w:tcPr>
            <w:tcW w:w="1134" w:type="dxa"/>
          </w:tcPr>
          <w:p w14:paraId="6B827B6A" w14:textId="77777777" w:rsidR="003D3574" w:rsidRPr="002009EE" w:rsidRDefault="003D3574" w:rsidP="005C377D">
            <w:pPr>
              <w:pStyle w:val="Normlnweb"/>
              <w:spacing w:line="276" w:lineRule="auto"/>
              <w:jc w:val="both"/>
              <w:rPr>
                <w:rFonts w:ascii="Calibri" w:hAnsi="Calibri" w:cs="Tahoma"/>
                <w:sz w:val="20"/>
                <w:szCs w:val="20"/>
              </w:rPr>
            </w:pPr>
          </w:p>
        </w:tc>
        <w:tc>
          <w:tcPr>
            <w:tcW w:w="3859" w:type="dxa"/>
            <w:tcBorders>
              <w:bottom w:val="single" w:sz="4" w:space="0" w:color="auto"/>
            </w:tcBorders>
          </w:tcPr>
          <w:p w14:paraId="07C59443" w14:textId="77777777" w:rsidR="003D3574" w:rsidRPr="002009EE" w:rsidRDefault="003D3574" w:rsidP="005C377D">
            <w:pPr>
              <w:pStyle w:val="Normlnweb"/>
              <w:spacing w:line="276" w:lineRule="auto"/>
              <w:jc w:val="both"/>
              <w:rPr>
                <w:rFonts w:ascii="Calibri" w:hAnsi="Calibri" w:cs="Tahoma"/>
                <w:sz w:val="20"/>
                <w:szCs w:val="20"/>
              </w:rPr>
            </w:pPr>
          </w:p>
        </w:tc>
      </w:tr>
      <w:tr w:rsidR="003D3574" w:rsidRPr="002009EE" w14:paraId="135A468B" w14:textId="77777777" w:rsidTr="005C377D">
        <w:tc>
          <w:tcPr>
            <w:tcW w:w="4219" w:type="dxa"/>
            <w:tcBorders>
              <w:top w:val="single" w:sz="4" w:space="0" w:color="auto"/>
            </w:tcBorders>
          </w:tcPr>
          <w:p w14:paraId="36AE42ED" w14:textId="77777777" w:rsidR="003D3574" w:rsidRPr="002009EE" w:rsidRDefault="003D3574" w:rsidP="005C377D">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14:paraId="564A54F0" w14:textId="77777777" w:rsidR="003D3574" w:rsidRPr="002009EE" w:rsidRDefault="003D3574" w:rsidP="005C377D">
            <w:pPr>
              <w:pStyle w:val="Normlnweb"/>
              <w:spacing w:before="0" w:beforeAutospacing="0" w:after="0" w:afterAutospacing="0"/>
              <w:jc w:val="both"/>
              <w:rPr>
                <w:rFonts w:ascii="Calibri" w:hAnsi="Calibri" w:cs="Tahoma"/>
                <w:sz w:val="20"/>
                <w:szCs w:val="20"/>
              </w:rPr>
            </w:pPr>
          </w:p>
          <w:p w14:paraId="7CA96907" w14:textId="77777777" w:rsidR="003D3574" w:rsidRDefault="003D3574" w:rsidP="005C377D">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Pr="002033E1">
              <w:rPr>
                <w:rFonts w:ascii="Calibri" w:hAnsi="Calibri" w:cs="TimesNewRomanPSMT"/>
                <w:bCs/>
                <w:sz w:val="20"/>
                <w:szCs w:val="20"/>
              </w:rPr>
              <w:t xml:space="preserve">, </w:t>
            </w:r>
          </w:p>
          <w:p w14:paraId="0A2F3CB0" w14:textId="77777777" w:rsidR="003D3574" w:rsidRPr="002009EE" w:rsidRDefault="003D3574" w:rsidP="005C377D">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Pr="002033E1">
              <w:rPr>
                <w:rFonts w:ascii="Calibri" w:hAnsi="Calibri" w:cs="TimesNewRomanPSMT"/>
                <w:bCs/>
                <w:sz w:val="20"/>
                <w:szCs w:val="20"/>
              </w:rPr>
              <w:t>taros</w:t>
            </w:r>
            <w:r>
              <w:rPr>
                <w:rFonts w:ascii="Calibri" w:hAnsi="Calibri" w:cs="TimesNewRomanPSMT"/>
                <w:bCs/>
                <w:sz w:val="20"/>
                <w:szCs w:val="20"/>
              </w:rPr>
              <w:t>ta Města Kostelec nad Orlicí</w:t>
            </w:r>
          </w:p>
        </w:tc>
        <w:tc>
          <w:tcPr>
            <w:tcW w:w="1134" w:type="dxa"/>
          </w:tcPr>
          <w:p w14:paraId="5137EB40" w14:textId="77777777" w:rsidR="003D3574" w:rsidRPr="002009EE" w:rsidRDefault="003D3574" w:rsidP="005C377D">
            <w:pPr>
              <w:pStyle w:val="Normlnweb"/>
              <w:spacing w:line="276" w:lineRule="auto"/>
              <w:jc w:val="both"/>
              <w:rPr>
                <w:rFonts w:ascii="Calibri" w:hAnsi="Calibri" w:cs="Tahoma"/>
                <w:sz w:val="20"/>
                <w:szCs w:val="20"/>
              </w:rPr>
            </w:pPr>
          </w:p>
        </w:tc>
        <w:tc>
          <w:tcPr>
            <w:tcW w:w="3859" w:type="dxa"/>
            <w:tcBorders>
              <w:top w:val="single" w:sz="4" w:space="0" w:color="auto"/>
            </w:tcBorders>
          </w:tcPr>
          <w:p w14:paraId="6948E2BE" w14:textId="77777777" w:rsidR="003D3574" w:rsidRPr="002009EE" w:rsidRDefault="003D3574" w:rsidP="005C377D">
            <w:pPr>
              <w:pStyle w:val="Normlnweb"/>
              <w:spacing w:line="276" w:lineRule="auto"/>
              <w:jc w:val="both"/>
              <w:rPr>
                <w:rFonts w:ascii="Calibri" w:hAnsi="Calibri" w:cs="Tahoma"/>
                <w:sz w:val="20"/>
                <w:szCs w:val="20"/>
              </w:rPr>
            </w:pPr>
            <w:r>
              <w:rPr>
                <w:rFonts w:ascii="Calibri" w:hAnsi="Calibri" w:cs="Tahoma"/>
                <w:sz w:val="20"/>
                <w:szCs w:val="20"/>
              </w:rPr>
              <w:t>zhotovitel</w:t>
            </w:r>
          </w:p>
          <w:p w14:paraId="2C2F93D4" w14:textId="77777777" w:rsidR="003D3574" w:rsidRPr="002009EE" w:rsidRDefault="003D3574" w:rsidP="005C377D">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w:t>
            </w:r>
            <w:r w:rsidRPr="002009EE">
              <w:rPr>
                <w:rFonts w:ascii="Calibri" w:hAnsi="Calibri" w:cs="Tahoma"/>
                <w:b/>
                <w:sz w:val="20"/>
                <w:szCs w:val="20"/>
                <w:highlight w:val="yellow"/>
              </w:rPr>
              <w:lastRenderedPageBreak/>
              <w:t>zadávacího řízení]</w:t>
            </w:r>
          </w:p>
          <w:p w14:paraId="3846E8B5" w14:textId="77777777" w:rsidR="003D3574" w:rsidRPr="002009EE" w:rsidRDefault="003D3574" w:rsidP="005C377D">
            <w:pPr>
              <w:pStyle w:val="Normlnweb"/>
              <w:spacing w:before="0" w:beforeAutospacing="0" w:after="0" w:afterAutospacing="0"/>
              <w:jc w:val="both"/>
              <w:rPr>
                <w:rFonts w:ascii="Calibri" w:hAnsi="Calibri" w:cs="Tahoma"/>
                <w:sz w:val="20"/>
                <w:szCs w:val="20"/>
              </w:rPr>
            </w:pPr>
          </w:p>
        </w:tc>
      </w:tr>
    </w:tbl>
    <w:p w14:paraId="0950ED5C" w14:textId="77777777" w:rsidR="003D3574" w:rsidRPr="003D3574" w:rsidRDefault="003D3574" w:rsidP="003D3574">
      <w:pPr>
        <w:rPr>
          <w:rFonts w:asciiTheme="minorHAnsi" w:hAnsiTheme="minorHAnsi"/>
        </w:rPr>
      </w:pPr>
    </w:p>
    <w:p w14:paraId="51FEBB4C" w14:textId="77777777" w:rsidR="002A45B2" w:rsidRPr="009C5B36" w:rsidRDefault="002A45B2" w:rsidP="000D7CC5">
      <w:pPr>
        <w:shd w:val="clear" w:color="auto" w:fill="FFFFFF" w:themeFill="background1"/>
        <w:rPr>
          <w:rFonts w:asciiTheme="minorHAnsi" w:hAnsiTheme="minorHAnsi"/>
        </w:rPr>
      </w:pPr>
    </w:p>
    <w:sectPr w:rsidR="002A45B2" w:rsidRPr="009C5B36" w:rsidSect="00137961">
      <w:footerReference w:type="default" r:id="rId9"/>
      <w:headerReference w:type="first" r:id="rId10"/>
      <w:footerReference w:type="first" r:id="rId11"/>
      <w:pgSz w:w="11907" w:h="16840" w:code="9"/>
      <w:pgMar w:top="1418" w:right="1418" w:bottom="1418" w:left="1418" w:header="426" w:footer="442"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603DB" w14:textId="77777777" w:rsidR="00581DD8" w:rsidRDefault="00581DD8">
      <w:r>
        <w:separator/>
      </w:r>
    </w:p>
  </w:endnote>
  <w:endnote w:type="continuationSeparator" w:id="0">
    <w:p w14:paraId="186292A9" w14:textId="77777777" w:rsidR="00581DD8" w:rsidRDefault="0058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variable"/>
    <w:sig w:usb0="00000000"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0901081"/>
      <w:docPartObj>
        <w:docPartGallery w:val="Page Numbers (Bottom of Page)"/>
        <w:docPartUnique/>
      </w:docPartObj>
    </w:sdtPr>
    <w:sdtEndPr/>
    <w:sdtContent>
      <w:p w14:paraId="34B6C463" w14:textId="00A27864" w:rsidR="00215B83" w:rsidRDefault="00215B83" w:rsidP="00215B83">
        <w:pPr>
          <w:pStyle w:val="Zpat"/>
          <w:jc w:val="right"/>
          <w:rPr>
            <w:rFonts w:asciiTheme="minorHAnsi" w:hAnsiTheme="minorHAnsi"/>
          </w:rPr>
        </w:pPr>
        <w:r w:rsidRPr="00215B83">
          <w:rPr>
            <w:rFonts w:asciiTheme="minorHAnsi" w:hAnsiTheme="minorHAnsi"/>
          </w:rPr>
          <w:t xml:space="preserve"> </w:t>
        </w:r>
        <w:sdt>
          <w:sdtPr>
            <w:rPr>
              <w:rFonts w:asciiTheme="minorHAnsi" w:hAnsiTheme="minorHAnsi"/>
            </w:rPr>
            <w:id w:val="506030038"/>
            <w:docPartObj>
              <w:docPartGallery w:val="Page Numbers (Bottom of Page)"/>
              <w:docPartUnique/>
            </w:docPartObj>
          </w:sdtPr>
          <w:sdtEndPr/>
          <w:sdtContent>
            <w:sdt>
              <w:sdtPr>
                <w:rPr>
                  <w:rFonts w:asciiTheme="minorHAnsi" w:hAnsiTheme="minorHAnsi"/>
                </w:rPr>
                <w:id w:val="-392895260"/>
                <w:docPartObj>
                  <w:docPartGallery w:val="Page Numbers (Top of Page)"/>
                  <w:docPartUnique/>
                </w:docPartObj>
              </w:sdtPr>
              <w:sdtEndPr/>
              <w:sdtContent>
                <w:r w:rsidRPr="00137961">
                  <w:rPr>
                    <w:rFonts w:asciiTheme="minorHAnsi" w:hAnsiTheme="minorHAnsi"/>
                  </w:rPr>
                  <w:t xml:space="preserve">Stránka </w:t>
                </w:r>
                <w:r w:rsidRPr="00137961">
                  <w:rPr>
                    <w:rFonts w:asciiTheme="minorHAnsi" w:hAnsiTheme="minorHAnsi"/>
                    <w:b/>
                    <w:bCs/>
                  </w:rPr>
                  <w:fldChar w:fldCharType="begin"/>
                </w:r>
                <w:r w:rsidRPr="00137961">
                  <w:rPr>
                    <w:rFonts w:asciiTheme="minorHAnsi" w:hAnsiTheme="minorHAnsi"/>
                    <w:b/>
                    <w:bCs/>
                  </w:rPr>
                  <w:instrText>PAGE</w:instrText>
                </w:r>
                <w:r w:rsidRPr="00137961">
                  <w:rPr>
                    <w:rFonts w:asciiTheme="minorHAnsi" w:hAnsiTheme="minorHAnsi"/>
                    <w:b/>
                    <w:bCs/>
                  </w:rPr>
                  <w:fldChar w:fldCharType="separate"/>
                </w:r>
                <w:r w:rsidR="00CD669C">
                  <w:rPr>
                    <w:rFonts w:asciiTheme="minorHAnsi" w:hAnsiTheme="minorHAnsi"/>
                    <w:b/>
                    <w:bCs/>
                    <w:noProof/>
                  </w:rPr>
                  <w:t>10</w:t>
                </w:r>
                <w:r w:rsidRPr="00137961">
                  <w:rPr>
                    <w:rFonts w:asciiTheme="minorHAnsi" w:hAnsiTheme="minorHAnsi"/>
                    <w:b/>
                    <w:bCs/>
                  </w:rPr>
                  <w:fldChar w:fldCharType="end"/>
                </w:r>
                <w:r w:rsidRPr="00137961">
                  <w:rPr>
                    <w:rFonts w:asciiTheme="minorHAnsi" w:hAnsiTheme="minorHAnsi"/>
                  </w:rPr>
                  <w:t xml:space="preserve"> z </w:t>
                </w:r>
                <w:r w:rsidRPr="00137961">
                  <w:rPr>
                    <w:rFonts w:asciiTheme="minorHAnsi" w:hAnsiTheme="minorHAnsi"/>
                    <w:b/>
                    <w:bCs/>
                  </w:rPr>
                  <w:fldChar w:fldCharType="begin"/>
                </w:r>
                <w:r w:rsidRPr="00137961">
                  <w:rPr>
                    <w:rFonts w:asciiTheme="minorHAnsi" w:hAnsiTheme="minorHAnsi"/>
                    <w:b/>
                    <w:bCs/>
                  </w:rPr>
                  <w:instrText>NUMPAGES</w:instrText>
                </w:r>
                <w:r w:rsidRPr="00137961">
                  <w:rPr>
                    <w:rFonts w:asciiTheme="minorHAnsi" w:hAnsiTheme="minorHAnsi"/>
                    <w:b/>
                    <w:bCs/>
                  </w:rPr>
                  <w:fldChar w:fldCharType="separate"/>
                </w:r>
                <w:r w:rsidR="00CD669C">
                  <w:rPr>
                    <w:rFonts w:asciiTheme="minorHAnsi" w:hAnsiTheme="minorHAnsi"/>
                    <w:b/>
                    <w:bCs/>
                    <w:noProof/>
                  </w:rPr>
                  <w:t>11</w:t>
                </w:r>
                <w:r w:rsidRPr="00137961">
                  <w:rPr>
                    <w:rFonts w:asciiTheme="minorHAnsi" w:hAnsiTheme="minorHAnsi"/>
                    <w:b/>
                    <w:bCs/>
                  </w:rPr>
                  <w:fldChar w:fldCharType="end"/>
                </w:r>
              </w:sdtContent>
            </w:sdt>
          </w:sdtContent>
        </w:sdt>
      </w:p>
      <w:p w14:paraId="654E5852" w14:textId="3C9F8B5C" w:rsidR="003F3C67" w:rsidRDefault="00581DD8">
        <w:pPr>
          <w:pStyle w:val="Zpat"/>
          <w:jc w:val="center"/>
        </w:pPr>
      </w:p>
    </w:sdtContent>
  </w:sdt>
  <w:p w14:paraId="30A19BFB" w14:textId="56B1AA10" w:rsidR="00536198" w:rsidRPr="003F3C67" w:rsidRDefault="00536198" w:rsidP="00026AE5">
    <w:pPr>
      <w:pStyle w:val="Zpat"/>
      <w:rPr>
        <w:rStyle w:val="slostrnky"/>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158810010"/>
      <w:docPartObj>
        <w:docPartGallery w:val="Page Numbers (Bottom of Page)"/>
        <w:docPartUnique/>
      </w:docPartObj>
    </w:sdtPr>
    <w:sdtEndPr/>
    <w:sdtContent>
      <w:sdt>
        <w:sdtPr>
          <w:rPr>
            <w:rFonts w:asciiTheme="minorHAnsi" w:hAnsiTheme="minorHAnsi"/>
          </w:rPr>
          <w:id w:val="860082579"/>
          <w:docPartObj>
            <w:docPartGallery w:val="Page Numbers (Top of Page)"/>
            <w:docPartUnique/>
          </w:docPartObj>
        </w:sdtPr>
        <w:sdtEndPr/>
        <w:sdtContent>
          <w:p w14:paraId="646D095D" w14:textId="7F52B225" w:rsidR="00137961" w:rsidRPr="00137961" w:rsidRDefault="00137961">
            <w:pPr>
              <w:pStyle w:val="Zpat"/>
              <w:jc w:val="right"/>
              <w:rPr>
                <w:rFonts w:asciiTheme="minorHAnsi" w:hAnsiTheme="minorHAnsi"/>
              </w:rPr>
            </w:pPr>
            <w:r w:rsidRPr="00137961">
              <w:rPr>
                <w:rFonts w:asciiTheme="minorHAnsi" w:hAnsiTheme="minorHAnsi"/>
              </w:rPr>
              <w:t xml:space="preserve">Stránka </w:t>
            </w:r>
            <w:r w:rsidRPr="00137961">
              <w:rPr>
                <w:rFonts w:asciiTheme="minorHAnsi" w:hAnsiTheme="minorHAnsi"/>
                <w:b/>
                <w:bCs/>
              </w:rPr>
              <w:fldChar w:fldCharType="begin"/>
            </w:r>
            <w:r w:rsidRPr="00137961">
              <w:rPr>
                <w:rFonts w:asciiTheme="minorHAnsi" w:hAnsiTheme="minorHAnsi"/>
                <w:b/>
                <w:bCs/>
              </w:rPr>
              <w:instrText>PAGE</w:instrText>
            </w:r>
            <w:r w:rsidRPr="00137961">
              <w:rPr>
                <w:rFonts w:asciiTheme="minorHAnsi" w:hAnsiTheme="minorHAnsi"/>
                <w:b/>
                <w:bCs/>
              </w:rPr>
              <w:fldChar w:fldCharType="separate"/>
            </w:r>
            <w:r w:rsidR="00CD669C">
              <w:rPr>
                <w:rFonts w:asciiTheme="minorHAnsi" w:hAnsiTheme="minorHAnsi"/>
                <w:b/>
                <w:bCs/>
                <w:noProof/>
              </w:rPr>
              <w:t>1</w:t>
            </w:r>
            <w:r w:rsidRPr="00137961">
              <w:rPr>
                <w:rFonts w:asciiTheme="minorHAnsi" w:hAnsiTheme="minorHAnsi"/>
                <w:b/>
                <w:bCs/>
              </w:rPr>
              <w:fldChar w:fldCharType="end"/>
            </w:r>
            <w:r w:rsidRPr="00137961">
              <w:rPr>
                <w:rFonts w:asciiTheme="minorHAnsi" w:hAnsiTheme="minorHAnsi"/>
              </w:rPr>
              <w:t xml:space="preserve"> z </w:t>
            </w:r>
            <w:r w:rsidRPr="00137961">
              <w:rPr>
                <w:rFonts w:asciiTheme="minorHAnsi" w:hAnsiTheme="minorHAnsi"/>
                <w:b/>
                <w:bCs/>
              </w:rPr>
              <w:fldChar w:fldCharType="begin"/>
            </w:r>
            <w:r w:rsidRPr="00137961">
              <w:rPr>
                <w:rFonts w:asciiTheme="minorHAnsi" w:hAnsiTheme="minorHAnsi"/>
                <w:b/>
                <w:bCs/>
              </w:rPr>
              <w:instrText>NUMPAGES</w:instrText>
            </w:r>
            <w:r w:rsidRPr="00137961">
              <w:rPr>
                <w:rFonts w:asciiTheme="minorHAnsi" w:hAnsiTheme="minorHAnsi"/>
                <w:b/>
                <w:bCs/>
              </w:rPr>
              <w:fldChar w:fldCharType="separate"/>
            </w:r>
            <w:r w:rsidR="00CD669C">
              <w:rPr>
                <w:rFonts w:asciiTheme="minorHAnsi" w:hAnsiTheme="minorHAnsi"/>
                <w:b/>
                <w:bCs/>
                <w:noProof/>
              </w:rPr>
              <w:t>11</w:t>
            </w:r>
            <w:r w:rsidRPr="00137961">
              <w:rPr>
                <w:rFonts w:asciiTheme="minorHAnsi" w:hAnsiTheme="minorHAnsi"/>
                <w:b/>
                <w:bCs/>
              </w:rPr>
              <w:fldChar w:fldCharType="end"/>
            </w:r>
          </w:p>
        </w:sdtContent>
      </w:sdt>
    </w:sdtContent>
  </w:sdt>
  <w:p w14:paraId="1C7B6052" w14:textId="68AE6716" w:rsidR="00536198" w:rsidRPr="00137961" w:rsidRDefault="00536198" w:rsidP="00137961">
    <w:pPr>
      <w:pStyle w:val="Zpat"/>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32208" w14:textId="77777777" w:rsidR="00581DD8" w:rsidRDefault="00581DD8">
      <w:r>
        <w:separator/>
      </w:r>
    </w:p>
  </w:footnote>
  <w:footnote w:type="continuationSeparator" w:id="0">
    <w:p w14:paraId="253E1E9E" w14:textId="77777777" w:rsidR="00581DD8" w:rsidRDefault="00581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64F89" w14:textId="77777777" w:rsidR="00137961" w:rsidRPr="00C02CBE" w:rsidRDefault="00137961" w:rsidP="00137961">
    <w:pPr>
      <w:tabs>
        <w:tab w:val="left" w:pos="10206"/>
      </w:tabs>
      <w:ind w:right="-852"/>
      <w:jc w:val="right"/>
      <w:rPr>
        <w:rFonts w:ascii="Calibri" w:hAnsi="Calibri" w:cs="TimesNewRomanPSMT"/>
        <w:bCs/>
        <w:color w:val="A6A6A6"/>
        <w:sz w:val="20"/>
        <w:szCs w:val="20"/>
      </w:rPr>
    </w:pPr>
    <w:r w:rsidRPr="00C02CBE">
      <w:rPr>
        <w:noProof/>
      </w:rPr>
      <w:drawing>
        <wp:anchor distT="0" distB="0" distL="114300" distR="114300" simplePos="0" relativeHeight="251675648" behindDoc="0" locked="0" layoutInCell="1" allowOverlap="1" wp14:anchorId="4A29FA89" wp14:editId="2BC121D1">
          <wp:simplePos x="0" y="0"/>
          <wp:positionH relativeFrom="column">
            <wp:posOffset>2290103</wp:posOffset>
          </wp:positionH>
          <wp:positionV relativeFrom="paragraph">
            <wp:posOffset>-142240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2CBE">
      <w:rPr>
        <w:rFonts w:ascii="Calibri" w:hAnsi="Calibri"/>
        <w:noProof/>
      </w:rPr>
      <w:drawing>
        <wp:anchor distT="0" distB="0" distL="114300" distR="114300" simplePos="0" relativeHeight="251657216" behindDoc="0" locked="0" layoutInCell="1" allowOverlap="1" wp14:anchorId="2C08F8A0" wp14:editId="6F36E4B2">
          <wp:simplePos x="0" y="0"/>
          <wp:positionH relativeFrom="column">
            <wp:posOffset>-394970</wp:posOffset>
          </wp:positionH>
          <wp:positionV relativeFrom="paragraph">
            <wp:posOffset>3175</wp:posOffset>
          </wp:positionV>
          <wp:extent cx="1619250" cy="474980"/>
          <wp:effectExtent l="0" t="0" r="0" b="1270"/>
          <wp:wrapNone/>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250" cy="474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2CBE">
      <w:rPr>
        <w:rFonts w:ascii="Calibri" w:hAnsi="Calibri" w:cs="TimesNewRomanPSMT"/>
        <w:bCs/>
        <w:color w:val="A6A6A6"/>
        <w:sz w:val="20"/>
        <w:szCs w:val="20"/>
      </w:rPr>
      <w:t xml:space="preserve"> Město Kostelec nad Orlicí</w:t>
    </w:r>
  </w:p>
  <w:p w14:paraId="1915F9F0" w14:textId="77777777" w:rsidR="00137961" w:rsidRPr="00C02CBE" w:rsidRDefault="00137961" w:rsidP="00137961">
    <w:pPr>
      <w:tabs>
        <w:tab w:val="left" w:pos="3930"/>
        <w:tab w:val="left" w:pos="6439"/>
        <w:tab w:val="right" w:pos="9781"/>
        <w:tab w:val="left" w:pos="10206"/>
      </w:tabs>
      <w:ind w:right="-852"/>
      <w:jc w:val="right"/>
      <w:rPr>
        <w:rFonts w:ascii="Calibri" w:hAnsi="Calibri" w:cs="TimesNewRomanPSMT"/>
        <w:bCs/>
        <w:color w:val="A6A6A6"/>
        <w:sz w:val="20"/>
        <w:szCs w:val="20"/>
      </w:rPr>
    </w:pPr>
    <w:r w:rsidRPr="00C02CBE">
      <w:rPr>
        <w:rFonts w:ascii="Calibri" w:hAnsi="Calibri" w:cs="TimesNewRomanPSMT"/>
        <w:bCs/>
        <w:color w:val="A6A6A6"/>
        <w:sz w:val="20"/>
        <w:szCs w:val="20"/>
      </w:rPr>
      <w:tab/>
    </w:r>
    <w:r w:rsidRPr="00C02CBE">
      <w:rPr>
        <w:rFonts w:ascii="Calibri" w:hAnsi="Calibri" w:cs="TimesNewRomanPSMT"/>
        <w:bCs/>
        <w:color w:val="A6A6A6"/>
        <w:sz w:val="20"/>
        <w:szCs w:val="20"/>
      </w:rPr>
      <w:tab/>
    </w:r>
    <w:r w:rsidRPr="00C02CBE">
      <w:rPr>
        <w:rFonts w:ascii="Calibri" w:hAnsi="Calibri" w:cs="TimesNewRomanPSMT"/>
        <w:bCs/>
        <w:color w:val="A6A6A6"/>
        <w:sz w:val="20"/>
        <w:szCs w:val="20"/>
      </w:rPr>
      <w:tab/>
      <w:t xml:space="preserve">Příloha č. </w:t>
    </w:r>
    <w:r>
      <w:rPr>
        <w:rFonts w:ascii="Calibri" w:hAnsi="Calibri" w:cs="TimesNewRomanPSMT"/>
        <w:bCs/>
        <w:color w:val="A6A6A6"/>
        <w:sz w:val="20"/>
        <w:szCs w:val="20"/>
      </w:rPr>
      <w:t>2</w:t>
    </w:r>
    <w:r w:rsidRPr="00C02CBE">
      <w:rPr>
        <w:rFonts w:ascii="Calibri" w:hAnsi="Calibri" w:cs="TimesNewRomanPSMT"/>
        <w:bCs/>
        <w:color w:val="A6A6A6"/>
        <w:sz w:val="20"/>
        <w:szCs w:val="20"/>
      </w:rPr>
      <w:t xml:space="preserve"> Výzvy k podání nabídek</w:t>
    </w:r>
  </w:p>
  <w:p w14:paraId="7B222461" w14:textId="0E396A1E" w:rsidR="00137961" w:rsidRPr="00C02CBE" w:rsidRDefault="00735650" w:rsidP="00735650">
    <w:pPr>
      <w:tabs>
        <w:tab w:val="left" w:pos="2916"/>
        <w:tab w:val="right" w:pos="9923"/>
      </w:tabs>
      <w:ind w:right="-852"/>
      <w:jc w:val="right"/>
      <w:rPr>
        <w:rFonts w:ascii="Calibri" w:eastAsia="Calibri" w:hAnsi="Calibri"/>
        <w:lang w:eastAsia="en-US"/>
      </w:rPr>
    </w:pPr>
    <w:r>
      <w:rPr>
        <w:rFonts w:ascii="Calibri" w:hAnsi="Calibri" w:cs="TimesNewRomanPSMT"/>
        <w:b/>
        <w:bCs/>
        <w:color w:val="A6A6A6"/>
        <w:sz w:val="20"/>
        <w:szCs w:val="20"/>
      </w:rPr>
      <w:tab/>
    </w:r>
    <w:r>
      <w:rPr>
        <w:rFonts w:ascii="Calibri" w:hAnsi="Calibri" w:cs="TimesNewRomanPSMT"/>
        <w:b/>
        <w:bCs/>
        <w:color w:val="A6A6A6"/>
        <w:sz w:val="20"/>
        <w:szCs w:val="20"/>
      </w:rPr>
      <w:tab/>
    </w:r>
    <w:r w:rsidR="00137961" w:rsidRPr="00735650">
      <w:rPr>
        <w:rFonts w:ascii="Calibri" w:hAnsi="Calibri" w:cs="TimesNewRomanPSMT"/>
        <w:bCs/>
        <w:color w:val="A6A6A6"/>
        <w:sz w:val="20"/>
        <w:szCs w:val="20"/>
      </w:rPr>
      <w:t xml:space="preserve"> „PD – </w:t>
    </w:r>
    <w:r w:rsidR="00E32650" w:rsidRPr="00735650">
      <w:rPr>
        <w:rFonts w:ascii="Calibri" w:hAnsi="Calibri" w:cs="TimesNewRomanPSMT"/>
        <w:bCs/>
        <w:color w:val="A6A6A6"/>
        <w:sz w:val="20"/>
        <w:szCs w:val="20"/>
      </w:rPr>
      <w:t>Stavební úpravy</w:t>
    </w:r>
    <w:r w:rsidR="00137961" w:rsidRPr="00735650">
      <w:rPr>
        <w:rFonts w:ascii="Calibri" w:hAnsi="Calibri" w:cs="TimesNewRomanPSMT"/>
        <w:bCs/>
        <w:color w:val="A6A6A6"/>
        <w:sz w:val="20"/>
        <w:szCs w:val="20"/>
      </w:rPr>
      <w:t xml:space="preserve"> č.p. 279 a č.p. 388, Pelclova ulice</w:t>
    </w:r>
    <w:r w:rsidR="00137961" w:rsidRPr="00C02CBE">
      <w:rPr>
        <w:rFonts w:ascii="Calibri" w:eastAsia="Calibri" w:hAnsi="Calibri" w:cs="TimesNewRomanPSMT"/>
        <w:b/>
        <w:bCs/>
        <w:color w:val="A6A6A6"/>
        <w:sz w:val="20"/>
        <w:szCs w:val="20"/>
        <w:lang w:eastAsia="en-US"/>
      </w:rPr>
      <w:br/>
    </w:r>
    <w:r w:rsidR="00137961" w:rsidRPr="00735650">
      <w:rPr>
        <w:rFonts w:ascii="Calibri" w:hAnsi="Calibri" w:cs="TimesNewRomanPSMT"/>
        <w:bCs/>
        <w:color w:val="A6A6A6"/>
        <w:sz w:val="20"/>
        <w:szCs w:val="20"/>
      </w:rPr>
      <w:t>na bytové jednotky, Kostelec nad Orlicí“</w:t>
    </w:r>
  </w:p>
  <w:p w14:paraId="67DAA648" w14:textId="77777777" w:rsidR="00137961" w:rsidRPr="00C02CBE" w:rsidRDefault="00137961" w:rsidP="00137961">
    <w:pPr>
      <w:pStyle w:val="Zhlav"/>
      <w:tabs>
        <w:tab w:val="left" w:pos="10206"/>
      </w:tabs>
      <w:ind w:right="-1"/>
      <w:jc w:val="right"/>
    </w:pPr>
  </w:p>
  <w:p w14:paraId="194E14AC" w14:textId="4BC40D7D" w:rsidR="00536198" w:rsidRPr="00DA08CA" w:rsidRDefault="00536198" w:rsidP="00137961">
    <w:pPr>
      <w:pStyle w:val="Zhlav"/>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1">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6">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3">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5">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6">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9">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5">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38">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9">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42">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4">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5">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7">
    <w:nsid w:val="73FA1821"/>
    <w:multiLevelType w:val="multilevel"/>
    <w:tmpl w:val="160E5D9E"/>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862"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1">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52">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3">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49"/>
  </w:num>
  <w:num w:numId="2">
    <w:abstractNumId w:val="53"/>
  </w:num>
  <w:num w:numId="3">
    <w:abstractNumId w:val="36"/>
  </w:num>
  <w:num w:numId="4">
    <w:abstractNumId w:val="34"/>
  </w:num>
  <w:num w:numId="5">
    <w:abstractNumId w:val="39"/>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8"/>
  </w:num>
  <w:num w:numId="15">
    <w:abstractNumId w:val="48"/>
  </w:num>
  <w:num w:numId="16">
    <w:abstractNumId w:val="28"/>
  </w:num>
  <w:num w:numId="17">
    <w:abstractNumId w:val="46"/>
  </w:num>
  <w:num w:numId="18">
    <w:abstractNumId w:val="41"/>
  </w:num>
  <w:num w:numId="19">
    <w:abstractNumId w:val="33"/>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9"/>
    <w:lvlOverride w:ilvl="0">
      <w:startOverride w:val="2"/>
    </w:lvlOverride>
  </w:num>
  <w:num w:numId="34">
    <w:abstractNumId w:val="19"/>
  </w:num>
  <w:num w:numId="35">
    <w:abstractNumId w:val="8"/>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38"/>
  </w:num>
  <w:num w:numId="39">
    <w:abstractNumId w:val="21"/>
  </w:num>
  <w:num w:numId="40">
    <w:abstractNumId w:val="37"/>
  </w:num>
  <w:num w:numId="41">
    <w:abstractNumId w:val="24"/>
  </w:num>
  <w:num w:numId="42">
    <w:abstractNumId w:val="44"/>
  </w:num>
  <w:num w:numId="43">
    <w:abstractNumId w:val="43"/>
  </w:num>
  <w:num w:numId="44">
    <w:abstractNumId w:val="27"/>
  </w:num>
  <w:num w:numId="45">
    <w:abstractNumId w:val="9"/>
  </w:num>
  <w:num w:numId="46">
    <w:abstractNumId w:val="16"/>
  </w:num>
  <w:num w:numId="47">
    <w:abstractNumId w:val="50"/>
  </w:num>
  <w:num w:numId="48">
    <w:abstractNumId w:val="10"/>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2"/>
  </w:num>
  <w:num w:numId="53">
    <w:abstractNumId w:val="51"/>
  </w:num>
  <w:num w:numId="54">
    <w:abstractNumId w:val="11"/>
  </w:num>
  <w:num w:numId="55">
    <w:abstractNumId w:val="25"/>
  </w:num>
  <w:num w:numId="56">
    <w:abstractNumId w:val="23"/>
  </w:num>
  <w:num w:numId="57">
    <w:abstractNumId w:val="40"/>
  </w:num>
  <w:num w:numId="58">
    <w:abstractNumId w:val="20"/>
  </w:num>
  <w:num w:numId="59">
    <w:abstractNumId w:val="17"/>
  </w:num>
  <w:num w:numId="60">
    <w:abstractNumId w:val="52"/>
  </w:num>
  <w:num w:numId="61">
    <w:abstractNumId w:val="32"/>
  </w:num>
  <w:num w:numId="62">
    <w:abstractNumId w:val="42"/>
  </w:num>
  <w:num w:numId="63">
    <w:abstractNumId w:val="31"/>
  </w:num>
  <w:num w:numId="64">
    <w:abstractNumId w:val="26"/>
  </w:num>
  <w:num w:numId="65">
    <w:abstractNumId w:val="15"/>
  </w:num>
  <w:num w:numId="66">
    <w:abstractNumId w:val="35"/>
  </w:num>
  <w:num w:numId="67">
    <w:abstractNumId w:val="30"/>
  </w:num>
  <w:num w:numId="68">
    <w:abstractNumId w:val="47"/>
  </w:num>
  <w:num w:numId="69">
    <w:abstractNumId w:val="12"/>
  </w:num>
  <w:num w:numId="70">
    <w:abstractNumId w:val="47"/>
    <w:lvlOverride w:ilvl="0">
      <w:lvl w:ilvl="0">
        <w:start w:val="1"/>
        <w:numFmt w:val="upperRoman"/>
        <w:suff w:val="nothing"/>
        <w:lvlText w:val="Článek %1"/>
        <w:lvlJc w:val="left"/>
        <w:pPr>
          <w:ind w:left="360" w:hanging="360"/>
        </w:pPr>
        <w:rPr>
          <w:rFonts w:hint="default"/>
          <w:b w:val="0"/>
        </w:rPr>
      </w:lvl>
    </w:lvlOverride>
    <w:lvlOverride w:ilvl="1">
      <w:lvl w:ilvl="1">
        <w:start w:val="1"/>
        <w:numFmt w:val="decimal"/>
        <w:isLgl/>
        <w:lvlText w:val="%1.%2"/>
        <w:lvlJc w:val="left"/>
        <w:pPr>
          <w:ind w:left="360" w:hanging="360"/>
        </w:pPr>
        <w:rPr>
          <w:rFonts w:hint="default"/>
          <w:b w:val="0"/>
          <w:strike w:val="0"/>
          <w:sz w:val="20"/>
        </w:rPr>
      </w:lvl>
    </w:lvlOverride>
    <w:lvlOverride w:ilvl="2">
      <w:lvl w:ilvl="2">
        <w:start w:val="1"/>
        <w:numFmt w:val="decimal"/>
        <w:isLgl/>
        <w:lvlText w:val="%1.%2.%3"/>
        <w:lvlJc w:val="left"/>
        <w:pPr>
          <w:ind w:left="862" w:hanging="720"/>
        </w:pPr>
        <w:rPr>
          <w:rFonts w:hint="default"/>
          <w:strike w:val="0"/>
        </w:rPr>
      </w:lvl>
    </w:lvlOverride>
    <w:lvlOverride w:ilvl="3">
      <w:lvl w:ilvl="3">
        <w:start w:val="1"/>
        <w:numFmt w:val="decimal"/>
        <w:isLg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5A7"/>
    <w:rsid w:val="0005090C"/>
    <w:rsid w:val="000517A2"/>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A2"/>
    <w:rsid w:val="0012664F"/>
    <w:rsid w:val="00126935"/>
    <w:rsid w:val="00126B0C"/>
    <w:rsid w:val="00130A48"/>
    <w:rsid w:val="00131A77"/>
    <w:rsid w:val="0013257A"/>
    <w:rsid w:val="00135E4F"/>
    <w:rsid w:val="00137961"/>
    <w:rsid w:val="0014141C"/>
    <w:rsid w:val="001426F2"/>
    <w:rsid w:val="00142BAC"/>
    <w:rsid w:val="00147685"/>
    <w:rsid w:val="001517A9"/>
    <w:rsid w:val="001566F0"/>
    <w:rsid w:val="001578B8"/>
    <w:rsid w:val="0016287C"/>
    <w:rsid w:val="00163E0F"/>
    <w:rsid w:val="001650FD"/>
    <w:rsid w:val="00167AE7"/>
    <w:rsid w:val="001717CD"/>
    <w:rsid w:val="00172840"/>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7D74"/>
    <w:rsid w:val="001D0D2B"/>
    <w:rsid w:val="001D1666"/>
    <w:rsid w:val="001D2E3D"/>
    <w:rsid w:val="001D371A"/>
    <w:rsid w:val="001D406C"/>
    <w:rsid w:val="001D6170"/>
    <w:rsid w:val="001D7614"/>
    <w:rsid w:val="001E2D46"/>
    <w:rsid w:val="001E7BB5"/>
    <w:rsid w:val="001F0017"/>
    <w:rsid w:val="001F1556"/>
    <w:rsid w:val="001F36BC"/>
    <w:rsid w:val="001F6F22"/>
    <w:rsid w:val="00200371"/>
    <w:rsid w:val="00204437"/>
    <w:rsid w:val="00204C49"/>
    <w:rsid w:val="00205402"/>
    <w:rsid w:val="00205AAF"/>
    <w:rsid w:val="00213E80"/>
    <w:rsid w:val="00215024"/>
    <w:rsid w:val="0021592F"/>
    <w:rsid w:val="00215B83"/>
    <w:rsid w:val="002202D1"/>
    <w:rsid w:val="00222229"/>
    <w:rsid w:val="00222E35"/>
    <w:rsid w:val="002232A3"/>
    <w:rsid w:val="00233C3D"/>
    <w:rsid w:val="002341F1"/>
    <w:rsid w:val="002354A3"/>
    <w:rsid w:val="00235E38"/>
    <w:rsid w:val="0024174D"/>
    <w:rsid w:val="00241DB6"/>
    <w:rsid w:val="00242CBC"/>
    <w:rsid w:val="0024396F"/>
    <w:rsid w:val="0024458F"/>
    <w:rsid w:val="00245B16"/>
    <w:rsid w:val="00253B70"/>
    <w:rsid w:val="00254420"/>
    <w:rsid w:val="00255E98"/>
    <w:rsid w:val="00260A89"/>
    <w:rsid w:val="00263E77"/>
    <w:rsid w:val="00265519"/>
    <w:rsid w:val="002660D1"/>
    <w:rsid w:val="00266C13"/>
    <w:rsid w:val="002709E1"/>
    <w:rsid w:val="00270FC3"/>
    <w:rsid w:val="00272820"/>
    <w:rsid w:val="00273CF9"/>
    <w:rsid w:val="0027594E"/>
    <w:rsid w:val="002774BC"/>
    <w:rsid w:val="002818C9"/>
    <w:rsid w:val="002839EA"/>
    <w:rsid w:val="00287588"/>
    <w:rsid w:val="002901C4"/>
    <w:rsid w:val="0029073E"/>
    <w:rsid w:val="00291E4A"/>
    <w:rsid w:val="00293FCA"/>
    <w:rsid w:val="002976F7"/>
    <w:rsid w:val="002A245B"/>
    <w:rsid w:val="002A45B2"/>
    <w:rsid w:val="002A5471"/>
    <w:rsid w:val="002B11B1"/>
    <w:rsid w:val="002B16FE"/>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66BA"/>
    <w:rsid w:val="003A00F8"/>
    <w:rsid w:val="003A34D0"/>
    <w:rsid w:val="003A62C4"/>
    <w:rsid w:val="003A6ABC"/>
    <w:rsid w:val="003B016B"/>
    <w:rsid w:val="003B33C9"/>
    <w:rsid w:val="003B4153"/>
    <w:rsid w:val="003B4BC5"/>
    <w:rsid w:val="003B55FA"/>
    <w:rsid w:val="003D04FD"/>
    <w:rsid w:val="003D261E"/>
    <w:rsid w:val="003D3574"/>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4FE0"/>
    <w:rsid w:val="003F7974"/>
    <w:rsid w:val="00401A5D"/>
    <w:rsid w:val="00403B7F"/>
    <w:rsid w:val="00403F09"/>
    <w:rsid w:val="00411401"/>
    <w:rsid w:val="00411B8A"/>
    <w:rsid w:val="00412165"/>
    <w:rsid w:val="00417FD0"/>
    <w:rsid w:val="00421E86"/>
    <w:rsid w:val="004248C0"/>
    <w:rsid w:val="00425A33"/>
    <w:rsid w:val="00426C74"/>
    <w:rsid w:val="00426CB5"/>
    <w:rsid w:val="0043035E"/>
    <w:rsid w:val="00432C06"/>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464F"/>
    <w:rsid w:val="00476596"/>
    <w:rsid w:val="00480BF7"/>
    <w:rsid w:val="00483E0B"/>
    <w:rsid w:val="00484149"/>
    <w:rsid w:val="0049001F"/>
    <w:rsid w:val="0049192A"/>
    <w:rsid w:val="00491B34"/>
    <w:rsid w:val="004A020E"/>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5057C2"/>
    <w:rsid w:val="00507BEF"/>
    <w:rsid w:val="0051140A"/>
    <w:rsid w:val="005136F4"/>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80DCC"/>
    <w:rsid w:val="00581129"/>
    <w:rsid w:val="00581DD8"/>
    <w:rsid w:val="00583773"/>
    <w:rsid w:val="00584624"/>
    <w:rsid w:val="005847C8"/>
    <w:rsid w:val="00584E17"/>
    <w:rsid w:val="00586637"/>
    <w:rsid w:val="00587DA5"/>
    <w:rsid w:val="00590376"/>
    <w:rsid w:val="00590D9C"/>
    <w:rsid w:val="00592B6E"/>
    <w:rsid w:val="005942D2"/>
    <w:rsid w:val="00594B87"/>
    <w:rsid w:val="005967DC"/>
    <w:rsid w:val="005A03C9"/>
    <w:rsid w:val="005B16FF"/>
    <w:rsid w:val="005B4C53"/>
    <w:rsid w:val="005B69EE"/>
    <w:rsid w:val="005B70E3"/>
    <w:rsid w:val="005C1A47"/>
    <w:rsid w:val="005C58A2"/>
    <w:rsid w:val="005D528C"/>
    <w:rsid w:val="005D67E7"/>
    <w:rsid w:val="005E1E21"/>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BB9"/>
    <w:rsid w:val="006718E5"/>
    <w:rsid w:val="00673D6D"/>
    <w:rsid w:val="006741AD"/>
    <w:rsid w:val="00677708"/>
    <w:rsid w:val="006779F1"/>
    <w:rsid w:val="00691E62"/>
    <w:rsid w:val="00692C8F"/>
    <w:rsid w:val="006A09DE"/>
    <w:rsid w:val="006A6BDB"/>
    <w:rsid w:val="006B00CC"/>
    <w:rsid w:val="006B0EB0"/>
    <w:rsid w:val="006B447F"/>
    <w:rsid w:val="006B62BB"/>
    <w:rsid w:val="006B72A5"/>
    <w:rsid w:val="006C01CF"/>
    <w:rsid w:val="006C5EF4"/>
    <w:rsid w:val="006C6891"/>
    <w:rsid w:val="006D13C5"/>
    <w:rsid w:val="006D2199"/>
    <w:rsid w:val="006D5215"/>
    <w:rsid w:val="006D57A2"/>
    <w:rsid w:val="006D7FDA"/>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32313"/>
    <w:rsid w:val="00733923"/>
    <w:rsid w:val="00734070"/>
    <w:rsid w:val="007346BA"/>
    <w:rsid w:val="00735650"/>
    <w:rsid w:val="00735E86"/>
    <w:rsid w:val="007369E9"/>
    <w:rsid w:val="0074445C"/>
    <w:rsid w:val="007450B9"/>
    <w:rsid w:val="0075184E"/>
    <w:rsid w:val="007622E7"/>
    <w:rsid w:val="007644C4"/>
    <w:rsid w:val="007647FB"/>
    <w:rsid w:val="00773C01"/>
    <w:rsid w:val="00773C66"/>
    <w:rsid w:val="00774340"/>
    <w:rsid w:val="00774812"/>
    <w:rsid w:val="007751A0"/>
    <w:rsid w:val="00776559"/>
    <w:rsid w:val="00776C9B"/>
    <w:rsid w:val="007778A1"/>
    <w:rsid w:val="0078003C"/>
    <w:rsid w:val="00782669"/>
    <w:rsid w:val="00785A50"/>
    <w:rsid w:val="007876C5"/>
    <w:rsid w:val="00796591"/>
    <w:rsid w:val="007A49FD"/>
    <w:rsid w:val="007A7747"/>
    <w:rsid w:val="007B36DB"/>
    <w:rsid w:val="007B3DE2"/>
    <w:rsid w:val="007B62A0"/>
    <w:rsid w:val="007C36CC"/>
    <w:rsid w:val="007C3B54"/>
    <w:rsid w:val="007C411E"/>
    <w:rsid w:val="007C4323"/>
    <w:rsid w:val="007C4E92"/>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368A"/>
    <w:rsid w:val="00804A55"/>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7087"/>
    <w:rsid w:val="00837C3F"/>
    <w:rsid w:val="00840A86"/>
    <w:rsid w:val="008420CD"/>
    <w:rsid w:val="00843283"/>
    <w:rsid w:val="00843901"/>
    <w:rsid w:val="00843A22"/>
    <w:rsid w:val="008443B7"/>
    <w:rsid w:val="00844762"/>
    <w:rsid w:val="00844A9D"/>
    <w:rsid w:val="00845FE9"/>
    <w:rsid w:val="008475AC"/>
    <w:rsid w:val="00847DBF"/>
    <w:rsid w:val="00850B15"/>
    <w:rsid w:val="00850B24"/>
    <w:rsid w:val="0085119C"/>
    <w:rsid w:val="00853829"/>
    <w:rsid w:val="0085493C"/>
    <w:rsid w:val="008733ED"/>
    <w:rsid w:val="008744C1"/>
    <w:rsid w:val="008756B9"/>
    <w:rsid w:val="00875796"/>
    <w:rsid w:val="00875B75"/>
    <w:rsid w:val="00876163"/>
    <w:rsid w:val="0087653A"/>
    <w:rsid w:val="0088071B"/>
    <w:rsid w:val="00882926"/>
    <w:rsid w:val="00885726"/>
    <w:rsid w:val="00890D85"/>
    <w:rsid w:val="00892F36"/>
    <w:rsid w:val="00893BB6"/>
    <w:rsid w:val="00895BA0"/>
    <w:rsid w:val="008979A0"/>
    <w:rsid w:val="008A4388"/>
    <w:rsid w:val="008A6FFC"/>
    <w:rsid w:val="008B0BB3"/>
    <w:rsid w:val="008B0BD9"/>
    <w:rsid w:val="008B5B23"/>
    <w:rsid w:val="008C4CA4"/>
    <w:rsid w:val="008C5267"/>
    <w:rsid w:val="008C7986"/>
    <w:rsid w:val="008D738D"/>
    <w:rsid w:val="008E41EB"/>
    <w:rsid w:val="008E5A6C"/>
    <w:rsid w:val="008E72DE"/>
    <w:rsid w:val="008E74A1"/>
    <w:rsid w:val="008F2F7C"/>
    <w:rsid w:val="008F5268"/>
    <w:rsid w:val="008F6419"/>
    <w:rsid w:val="00901A86"/>
    <w:rsid w:val="009031F0"/>
    <w:rsid w:val="00905937"/>
    <w:rsid w:val="009060EC"/>
    <w:rsid w:val="00907DC7"/>
    <w:rsid w:val="00911CB0"/>
    <w:rsid w:val="00913044"/>
    <w:rsid w:val="00913059"/>
    <w:rsid w:val="009131DB"/>
    <w:rsid w:val="00913496"/>
    <w:rsid w:val="00914414"/>
    <w:rsid w:val="00916424"/>
    <w:rsid w:val="00922644"/>
    <w:rsid w:val="00925449"/>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4CC2"/>
    <w:rsid w:val="009A58AC"/>
    <w:rsid w:val="009B2AA0"/>
    <w:rsid w:val="009B3E64"/>
    <w:rsid w:val="009B4727"/>
    <w:rsid w:val="009B5F12"/>
    <w:rsid w:val="009B656F"/>
    <w:rsid w:val="009B6A4A"/>
    <w:rsid w:val="009B7AD6"/>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4DB9"/>
    <w:rsid w:val="00A75E5F"/>
    <w:rsid w:val="00A7718B"/>
    <w:rsid w:val="00A8109C"/>
    <w:rsid w:val="00A82EBC"/>
    <w:rsid w:val="00A9137A"/>
    <w:rsid w:val="00A91D24"/>
    <w:rsid w:val="00A93A80"/>
    <w:rsid w:val="00A94798"/>
    <w:rsid w:val="00A947D5"/>
    <w:rsid w:val="00A94BE7"/>
    <w:rsid w:val="00A95B4A"/>
    <w:rsid w:val="00A9675A"/>
    <w:rsid w:val="00AA10FA"/>
    <w:rsid w:val="00AA1715"/>
    <w:rsid w:val="00AA23F8"/>
    <w:rsid w:val="00AB2752"/>
    <w:rsid w:val="00AB3299"/>
    <w:rsid w:val="00AB4B7B"/>
    <w:rsid w:val="00AB5B44"/>
    <w:rsid w:val="00AC382C"/>
    <w:rsid w:val="00AC4E2C"/>
    <w:rsid w:val="00AC5D72"/>
    <w:rsid w:val="00AD02B2"/>
    <w:rsid w:val="00AD2FD4"/>
    <w:rsid w:val="00AD4CC4"/>
    <w:rsid w:val="00AE017A"/>
    <w:rsid w:val="00AE0E1C"/>
    <w:rsid w:val="00AE1426"/>
    <w:rsid w:val="00AE2013"/>
    <w:rsid w:val="00AE5842"/>
    <w:rsid w:val="00AE5EB4"/>
    <w:rsid w:val="00AE622C"/>
    <w:rsid w:val="00AE77B6"/>
    <w:rsid w:val="00AF049C"/>
    <w:rsid w:val="00AF1DB8"/>
    <w:rsid w:val="00AF339E"/>
    <w:rsid w:val="00AF4154"/>
    <w:rsid w:val="00AF620C"/>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90840"/>
    <w:rsid w:val="00B91E82"/>
    <w:rsid w:val="00B929D7"/>
    <w:rsid w:val="00B94865"/>
    <w:rsid w:val="00B9525B"/>
    <w:rsid w:val="00B95FB7"/>
    <w:rsid w:val="00B972BA"/>
    <w:rsid w:val="00BA2832"/>
    <w:rsid w:val="00BA4D27"/>
    <w:rsid w:val="00BA537D"/>
    <w:rsid w:val="00BA5FD3"/>
    <w:rsid w:val="00BA7382"/>
    <w:rsid w:val="00BB1839"/>
    <w:rsid w:val="00BB21EA"/>
    <w:rsid w:val="00BB451A"/>
    <w:rsid w:val="00BE2DCB"/>
    <w:rsid w:val="00BE4184"/>
    <w:rsid w:val="00BF1B1B"/>
    <w:rsid w:val="00BF25E8"/>
    <w:rsid w:val="00BF3DCD"/>
    <w:rsid w:val="00BF43BD"/>
    <w:rsid w:val="00BF784F"/>
    <w:rsid w:val="00C0191A"/>
    <w:rsid w:val="00C02CBE"/>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5A03"/>
    <w:rsid w:val="00C51F8F"/>
    <w:rsid w:val="00C5204E"/>
    <w:rsid w:val="00C52402"/>
    <w:rsid w:val="00C52E79"/>
    <w:rsid w:val="00C55E84"/>
    <w:rsid w:val="00C5622B"/>
    <w:rsid w:val="00C57760"/>
    <w:rsid w:val="00C57FEA"/>
    <w:rsid w:val="00C61DBC"/>
    <w:rsid w:val="00C64982"/>
    <w:rsid w:val="00C75425"/>
    <w:rsid w:val="00C75C7A"/>
    <w:rsid w:val="00C765D0"/>
    <w:rsid w:val="00C8067C"/>
    <w:rsid w:val="00C81828"/>
    <w:rsid w:val="00C83C9F"/>
    <w:rsid w:val="00C84F3B"/>
    <w:rsid w:val="00C8780D"/>
    <w:rsid w:val="00C91D16"/>
    <w:rsid w:val="00C94289"/>
    <w:rsid w:val="00CB14E4"/>
    <w:rsid w:val="00CB2B56"/>
    <w:rsid w:val="00CB4B60"/>
    <w:rsid w:val="00CB6742"/>
    <w:rsid w:val="00CB6CF7"/>
    <w:rsid w:val="00CB7765"/>
    <w:rsid w:val="00CB7844"/>
    <w:rsid w:val="00CD0E5F"/>
    <w:rsid w:val="00CD1673"/>
    <w:rsid w:val="00CD19B5"/>
    <w:rsid w:val="00CD669C"/>
    <w:rsid w:val="00CE1E08"/>
    <w:rsid w:val="00CE1F85"/>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235D"/>
    <w:rsid w:val="00D224AC"/>
    <w:rsid w:val="00D2280E"/>
    <w:rsid w:val="00D245C1"/>
    <w:rsid w:val="00D2484E"/>
    <w:rsid w:val="00D24941"/>
    <w:rsid w:val="00D34801"/>
    <w:rsid w:val="00D364D1"/>
    <w:rsid w:val="00D4060B"/>
    <w:rsid w:val="00D430BE"/>
    <w:rsid w:val="00D439A3"/>
    <w:rsid w:val="00D44ADE"/>
    <w:rsid w:val="00D51617"/>
    <w:rsid w:val="00D53555"/>
    <w:rsid w:val="00D5517B"/>
    <w:rsid w:val="00D6123A"/>
    <w:rsid w:val="00D66085"/>
    <w:rsid w:val="00D73F7F"/>
    <w:rsid w:val="00D74CBE"/>
    <w:rsid w:val="00D811DD"/>
    <w:rsid w:val="00D87658"/>
    <w:rsid w:val="00D918AE"/>
    <w:rsid w:val="00D94612"/>
    <w:rsid w:val="00D94C8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6CCA"/>
    <w:rsid w:val="00DD6D4B"/>
    <w:rsid w:val="00DE112C"/>
    <w:rsid w:val="00DE3860"/>
    <w:rsid w:val="00DF0E4A"/>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2650"/>
    <w:rsid w:val="00E333A8"/>
    <w:rsid w:val="00E40DBB"/>
    <w:rsid w:val="00E45182"/>
    <w:rsid w:val="00E46921"/>
    <w:rsid w:val="00E47384"/>
    <w:rsid w:val="00E473ED"/>
    <w:rsid w:val="00E51A03"/>
    <w:rsid w:val="00E51FBB"/>
    <w:rsid w:val="00E541E7"/>
    <w:rsid w:val="00E54477"/>
    <w:rsid w:val="00E55ADD"/>
    <w:rsid w:val="00E56047"/>
    <w:rsid w:val="00E56EF3"/>
    <w:rsid w:val="00E63D58"/>
    <w:rsid w:val="00E647D9"/>
    <w:rsid w:val="00E67262"/>
    <w:rsid w:val="00E700DC"/>
    <w:rsid w:val="00E70FB5"/>
    <w:rsid w:val="00E73203"/>
    <w:rsid w:val="00E74CD3"/>
    <w:rsid w:val="00E74EB0"/>
    <w:rsid w:val="00E75992"/>
    <w:rsid w:val="00E76108"/>
    <w:rsid w:val="00E822A9"/>
    <w:rsid w:val="00E82320"/>
    <w:rsid w:val="00E8253C"/>
    <w:rsid w:val="00E8374B"/>
    <w:rsid w:val="00E91A44"/>
    <w:rsid w:val="00E91A7E"/>
    <w:rsid w:val="00E9440B"/>
    <w:rsid w:val="00E952DA"/>
    <w:rsid w:val="00E958F3"/>
    <w:rsid w:val="00EA1ABC"/>
    <w:rsid w:val="00EA3631"/>
    <w:rsid w:val="00EA7A03"/>
    <w:rsid w:val="00EB3A58"/>
    <w:rsid w:val="00EB6CA6"/>
    <w:rsid w:val="00ED61BF"/>
    <w:rsid w:val="00EE0198"/>
    <w:rsid w:val="00EE0846"/>
    <w:rsid w:val="00EE2B58"/>
    <w:rsid w:val="00EE2CD3"/>
    <w:rsid w:val="00EE300F"/>
    <w:rsid w:val="00EE799F"/>
    <w:rsid w:val="00EF164A"/>
    <w:rsid w:val="00EF2CFF"/>
    <w:rsid w:val="00EF55A9"/>
    <w:rsid w:val="00EF5B8D"/>
    <w:rsid w:val="00EF6233"/>
    <w:rsid w:val="00EF7AE0"/>
    <w:rsid w:val="00F00739"/>
    <w:rsid w:val="00F01BFD"/>
    <w:rsid w:val="00F04B44"/>
    <w:rsid w:val="00F0595A"/>
    <w:rsid w:val="00F11474"/>
    <w:rsid w:val="00F14760"/>
    <w:rsid w:val="00F15912"/>
    <w:rsid w:val="00F1611A"/>
    <w:rsid w:val="00F2353C"/>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5CB9"/>
    <w:rsid w:val="00F72371"/>
    <w:rsid w:val="00F76F1F"/>
    <w:rsid w:val="00F80DD8"/>
    <w:rsid w:val="00F8343A"/>
    <w:rsid w:val="00F96E95"/>
    <w:rsid w:val="00F96FE0"/>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0F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lock Text" w:uiPriority="99"/>
    <w:lsdException w:name="Strong" w:semiHidden="0" w:unhideWhenUsed="0" w:qFormat="1"/>
    <w:lsdException w:name="Emphasis" w:semiHidden="0" w:unhideWhenUsed="0" w:qFormat="1"/>
    <w:lsdException w:name="Normal (Web)" w:uiPriority="99"/>
    <w:lsdException w:name="annotation subject" w:uiPriority="99"/>
    <w:lsdException w:name="Table Grid"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9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paragraph" w:styleId="Nzev">
    <w:name w:val="Title"/>
    <w:basedOn w:val="Normln"/>
    <w:next w:val="Normln"/>
    <w:link w:val="NzevChar"/>
    <w:qFormat/>
    <w:rsid w:val="00C02CBE"/>
    <w:pPr>
      <w:suppressAutoHyphens/>
      <w:jc w:val="center"/>
    </w:pPr>
    <w:rPr>
      <w:b/>
      <w:bCs/>
      <w:sz w:val="28"/>
      <w:lang w:eastAsia="ar-SA"/>
    </w:rPr>
  </w:style>
  <w:style w:type="character" w:customStyle="1" w:styleId="NzevChar">
    <w:name w:val="Název Char"/>
    <w:basedOn w:val="Standardnpsmoodstavce"/>
    <w:link w:val="Nzev"/>
    <w:rsid w:val="00C02CBE"/>
    <w:rPr>
      <w:b/>
      <w:bCs/>
      <w:sz w:val="28"/>
      <w:szCs w:val="24"/>
      <w:lang w:eastAsia="ar-SA"/>
    </w:rPr>
  </w:style>
  <w:style w:type="paragraph" w:customStyle="1" w:styleId="Zkladntext22">
    <w:name w:val="Základní text 22"/>
    <w:basedOn w:val="Normln"/>
    <w:rsid w:val="00C02CBE"/>
    <w:pPr>
      <w:suppressAutoHyphens/>
      <w:spacing w:after="120" w:line="480" w:lineRule="auto"/>
    </w:pPr>
    <w:rPr>
      <w:rFonts w:ascii="Calibri" w:eastAsia="Calibri" w:hAnsi="Calibri" w:cs="Calibri"/>
      <w:sz w:val="22"/>
      <w:szCs w:val="22"/>
      <w:lang w:eastAsia="ar-SA"/>
    </w:rPr>
  </w:style>
  <w:style w:type="paragraph" w:styleId="Normlnweb">
    <w:name w:val="Normal (Web)"/>
    <w:basedOn w:val="Normln"/>
    <w:uiPriority w:val="99"/>
    <w:rsid w:val="003D357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lock Text" w:uiPriority="99"/>
    <w:lsdException w:name="Strong" w:semiHidden="0" w:unhideWhenUsed="0" w:qFormat="1"/>
    <w:lsdException w:name="Emphasis" w:semiHidden="0" w:unhideWhenUsed="0" w:qFormat="1"/>
    <w:lsdException w:name="Normal (Web)" w:uiPriority="99"/>
    <w:lsdException w:name="annotation subject" w:uiPriority="99"/>
    <w:lsdException w:name="Table Grid"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9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paragraph" w:styleId="Nzev">
    <w:name w:val="Title"/>
    <w:basedOn w:val="Normln"/>
    <w:next w:val="Normln"/>
    <w:link w:val="NzevChar"/>
    <w:qFormat/>
    <w:rsid w:val="00C02CBE"/>
    <w:pPr>
      <w:suppressAutoHyphens/>
      <w:jc w:val="center"/>
    </w:pPr>
    <w:rPr>
      <w:b/>
      <w:bCs/>
      <w:sz w:val="28"/>
      <w:lang w:eastAsia="ar-SA"/>
    </w:rPr>
  </w:style>
  <w:style w:type="character" w:customStyle="1" w:styleId="NzevChar">
    <w:name w:val="Název Char"/>
    <w:basedOn w:val="Standardnpsmoodstavce"/>
    <w:link w:val="Nzev"/>
    <w:rsid w:val="00C02CBE"/>
    <w:rPr>
      <w:b/>
      <w:bCs/>
      <w:sz w:val="28"/>
      <w:szCs w:val="24"/>
      <w:lang w:eastAsia="ar-SA"/>
    </w:rPr>
  </w:style>
  <w:style w:type="paragraph" w:customStyle="1" w:styleId="Zkladntext22">
    <w:name w:val="Základní text 22"/>
    <w:basedOn w:val="Normln"/>
    <w:rsid w:val="00C02CBE"/>
    <w:pPr>
      <w:suppressAutoHyphens/>
      <w:spacing w:after="120" w:line="480" w:lineRule="auto"/>
    </w:pPr>
    <w:rPr>
      <w:rFonts w:ascii="Calibri" w:eastAsia="Calibri" w:hAnsi="Calibri" w:cs="Calibri"/>
      <w:sz w:val="22"/>
      <w:szCs w:val="22"/>
      <w:lang w:eastAsia="ar-SA"/>
    </w:rPr>
  </w:style>
  <w:style w:type="paragraph" w:styleId="Normlnweb">
    <w:name w:val="Normal (Web)"/>
    <w:basedOn w:val="Normln"/>
    <w:uiPriority w:val="99"/>
    <w:rsid w:val="003D3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11A9D-9534-42A8-BF00-847A0E915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4689</Words>
  <Characters>27669</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Mgr. Antonín Hajdušek</cp:lastModifiedBy>
  <cp:revision>4</cp:revision>
  <cp:lastPrinted>2019-05-15T11:09:00Z</cp:lastPrinted>
  <dcterms:created xsi:type="dcterms:W3CDTF">2019-09-02T08:37:00Z</dcterms:created>
  <dcterms:modified xsi:type="dcterms:W3CDTF">2019-09-12T13:05:00Z</dcterms:modified>
</cp:coreProperties>
</file>